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50BF9" w14:textId="64A91500" w:rsidR="00FF2308" w:rsidRPr="000940FE" w:rsidRDefault="00FF2308" w:rsidP="00FF2308">
      <w:pPr>
        <w:rPr>
          <w:b/>
          <w:bCs/>
        </w:rPr>
      </w:pPr>
      <w:r>
        <w:t xml:space="preserve">Název veřejné zakázky: </w:t>
      </w:r>
      <w:r w:rsidR="00441DE1" w:rsidRPr="00441DE1">
        <w:rPr>
          <w:b/>
          <w:bCs/>
        </w:rPr>
        <w:t xml:space="preserve">KYBEZ města </w:t>
      </w:r>
      <w:proofErr w:type="gramStart"/>
      <w:r w:rsidR="00441DE1" w:rsidRPr="00441DE1">
        <w:rPr>
          <w:b/>
          <w:bCs/>
        </w:rPr>
        <w:t>Litvínov - Redundantní</w:t>
      </w:r>
      <w:proofErr w:type="gramEnd"/>
      <w:r w:rsidR="00441DE1" w:rsidRPr="00441DE1">
        <w:rPr>
          <w:b/>
          <w:bCs/>
        </w:rPr>
        <w:t xml:space="preserve"> infrastruktura; §27 Zajišťování úrovně dostupnosti informací č. 82/2018 Sb., o kybernetické bezpečnosti</w:t>
      </w:r>
    </w:p>
    <w:p w14:paraId="5397CF66" w14:textId="48F7384F" w:rsidR="00FF2308" w:rsidRDefault="00FF2308" w:rsidP="00FF2308">
      <w:r>
        <w:t xml:space="preserve">systémové číslo: </w:t>
      </w:r>
      <w:r w:rsidR="00C26579" w:rsidRPr="00C26579">
        <w:t>P25V00000064</w:t>
      </w:r>
    </w:p>
    <w:p w14:paraId="1F22D60D" w14:textId="578B6BAF" w:rsidR="007A7223" w:rsidRDefault="00355F76" w:rsidP="00FF2308">
      <w:pPr>
        <w:pStyle w:val="Nadpis1"/>
      </w:pPr>
      <w:r>
        <w:t>P</w:t>
      </w:r>
      <w:r w:rsidR="00742F6B">
        <w:t xml:space="preserve">ředmět veřejné zakázky </w:t>
      </w:r>
    </w:p>
    <w:p w14:paraId="3D0702A9" w14:textId="77777777" w:rsidR="00C26579" w:rsidRDefault="00C26579" w:rsidP="00E047E6">
      <w:pPr>
        <w:jc w:val="both"/>
      </w:pPr>
      <w:r>
        <w:t>Předmětem veřejné zakázky je dodávka a implementace technologií ke zvýšení úrovně kybernetické bezpečnosti informačních systémů (IS) a komunikačních systémů (KS) zadavatele. Dodavatel, se kterým bude uzavřena smlouva, poskytne zadavateli požadované dodávky a související služby specifikované v této příloze.</w:t>
      </w:r>
    </w:p>
    <w:p w14:paraId="50FDDACB" w14:textId="77777777" w:rsidR="00C26579" w:rsidRDefault="00C26579" w:rsidP="00C26579">
      <w:pPr>
        <w:jc w:val="both"/>
      </w:pPr>
      <w:r>
        <w:t>Přehled oblastí, které jsou předmětem dodávky: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4"/>
        <w:gridCol w:w="5078"/>
      </w:tblGrid>
      <w:tr w:rsidR="00EB5619" w:rsidRPr="00FF2308" w14:paraId="1FACBE03" w14:textId="77777777" w:rsidTr="00EB5619">
        <w:trPr>
          <w:tblHeader/>
          <w:jc w:val="center"/>
        </w:trPr>
        <w:tc>
          <w:tcPr>
            <w:tcW w:w="2198" w:type="pct"/>
            <w:shd w:val="clear" w:color="auto" w:fill="B4C6E7" w:themeFill="accent1" w:themeFillTint="66"/>
            <w:vAlign w:val="center"/>
            <w:hideMark/>
          </w:tcPr>
          <w:p w14:paraId="6B20AD04" w14:textId="77777777" w:rsidR="00EB5619" w:rsidRPr="001F7743" w:rsidRDefault="00EB5619" w:rsidP="001F7743">
            <w:pPr>
              <w:jc w:val="center"/>
              <w:rPr>
                <w:b/>
                <w:bCs/>
              </w:rPr>
            </w:pPr>
            <w:r w:rsidRPr="001F7743">
              <w:rPr>
                <w:b/>
                <w:bCs/>
              </w:rPr>
              <w:t>Zajišťovaná oblast</w:t>
            </w:r>
          </w:p>
        </w:tc>
        <w:tc>
          <w:tcPr>
            <w:tcW w:w="2802" w:type="pct"/>
            <w:shd w:val="clear" w:color="auto" w:fill="B4C6E7" w:themeFill="accent1" w:themeFillTint="66"/>
            <w:vAlign w:val="center"/>
            <w:hideMark/>
          </w:tcPr>
          <w:p w14:paraId="5F9A5B80" w14:textId="77777777" w:rsidR="00EB5619" w:rsidRPr="001F7743" w:rsidRDefault="00EB5619" w:rsidP="001F7743">
            <w:pPr>
              <w:jc w:val="center"/>
              <w:rPr>
                <w:b/>
                <w:bCs/>
              </w:rPr>
            </w:pPr>
            <w:r w:rsidRPr="001F7743">
              <w:rPr>
                <w:b/>
                <w:bCs/>
              </w:rPr>
              <w:t>Stručný popis položky</w:t>
            </w:r>
          </w:p>
        </w:tc>
      </w:tr>
      <w:tr w:rsidR="00EB5619" w:rsidRPr="00FF2308" w14:paraId="717E62B3" w14:textId="77777777" w:rsidTr="00EB5619">
        <w:trPr>
          <w:jc w:val="center"/>
        </w:trPr>
        <w:tc>
          <w:tcPr>
            <w:tcW w:w="2198" w:type="pct"/>
            <w:shd w:val="clear" w:color="auto" w:fill="auto"/>
            <w:vAlign w:val="center"/>
          </w:tcPr>
          <w:p w14:paraId="0B8E6730" w14:textId="3C42E8AA" w:rsidR="00EB5619" w:rsidRPr="00FF2308" w:rsidRDefault="00EB5619" w:rsidP="001F7743">
            <w:pPr>
              <w:rPr>
                <w:rFonts w:eastAsia="MS ??"/>
              </w:rPr>
            </w:pPr>
            <w:r>
              <w:rPr>
                <w:rFonts w:eastAsia="MS ??"/>
              </w:rPr>
              <w:t>Zajišťování úrovně dostupností informací a kontinuity provozu</w:t>
            </w:r>
          </w:p>
        </w:tc>
        <w:tc>
          <w:tcPr>
            <w:tcW w:w="2802" w:type="pct"/>
            <w:shd w:val="clear" w:color="auto" w:fill="auto"/>
            <w:vAlign w:val="center"/>
          </w:tcPr>
          <w:p w14:paraId="4ABDD9CA" w14:textId="77777777" w:rsidR="00EB5619" w:rsidRDefault="00EB5619" w:rsidP="00EB5619">
            <w:pPr>
              <w:pStyle w:val="Odstavecseseznamem"/>
              <w:numPr>
                <w:ilvl w:val="0"/>
                <w:numId w:val="27"/>
              </w:numPr>
              <w:rPr>
                <w:rFonts w:eastAsia="MS ??"/>
              </w:rPr>
            </w:pPr>
            <w:r>
              <w:rPr>
                <w:rFonts w:eastAsia="MS ??"/>
              </w:rPr>
              <w:t>Zajištění kontinuity provozu v případě selhání primární infrastruktury (ochrana dostupnosti).</w:t>
            </w:r>
          </w:p>
          <w:p w14:paraId="03EDAF31" w14:textId="77777777" w:rsidR="00EB5619" w:rsidRDefault="00EB5619" w:rsidP="00EB5619">
            <w:pPr>
              <w:pStyle w:val="Odstavecseseznamem"/>
              <w:numPr>
                <w:ilvl w:val="0"/>
                <w:numId w:val="27"/>
              </w:numPr>
              <w:rPr>
                <w:rFonts w:eastAsia="MS ??"/>
              </w:rPr>
            </w:pPr>
            <w:r>
              <w:rPr>
                <w:rFonts w:eastAsia="MS ??"/>
              </w:rPr>
              <w:t>Replikace virtuálních serverů k možnosti obnovení provozu</w:t>
            </w:r>
          </w:p>
          <w:p w14:paraId="6EF128BA" w14:textId="77777777" w:rsidR="00EB5619" w:rsidRDefault="00EB5619" w:rsidP="00EB5619">
            <w:pPr>
              <w:pStyle w:val="Odstavecseseznamem"/>
              <w:numPr>
                <w:ilvl w:val="0"/>
                <w:numId w:val="27"/>
              </w:numPr>
              <w:rPr>
                <w:rFonts w:eastAsia="MS ??"/>
              </w:rPr>
            </w:pPr>
            <w:r>
              <w:rPr>
                <w:rFonts w:eastAsia="MS ??"/>
              </w:rPr>
              <w:t>Zálohování se zabezpečením za účelem zajištění integrity a nedotknutelnosti záloh (ochrana proti ransomware apod.)</w:t>
            </w:r>
          </w:p>
          <w:p w14:paraId="41509A79" w14:textId="1CE4C2CD" w:rsidR="00EB5619" w:rsidRPr="00EB5619" w:rsidRDefault="00EB5619" w:rsidP="00EB5619">
            <w:pPr>
              <w:pStyle w:val="Odstavecseseznamem"/>
              <w:numPr>
                <w:ilvl w:val="0"/>
                <w:numId w:val="27"/>
              </w:numPr>
              <w:rPr>
                <w:rFonts w:eastAsia="MS ??"/>
              </w:rPr>
            </w:pPr>
            <w:r>
              <w:rPr>
                <w:rFonts w:eastAsia="MS ??"/>
              </w:rPr>
              <w:t>Provoz zálohovacího serveru a DC řadiče v DR lokalitě pro rychlou obnovu klíčových služeb.</w:t>
            </w:r>
          </w:p>
        </w:tc>
      </w:tr>
    </w:tbl>
    <w:p w14:paraId="086DB949" w14:textId="77777777" w:rsidR="00C26579" w:rsidRDefault="00C26579" w:rsidP="00C26579">
      <w:pPr>
        <w:jc w:val="both"/>
      </w:pPr>
      <w:r>
        <w:t>Dodavatel je povinen navrhovat řešení v souladu s nejlepšími dostupnými technologickými praktikami, doporučeními výrobců a relevantními normami kybernetické bezpečnosti.</w:t>
      </w:r>
    </w:p>
    <w:p w14:paraId="7469EC8C" w14:textId="77777777" w:rsidR="00C26579" w:rsidRDefault="00C26579" w:rsidP="00C26579">
      <w:pPr>
        <w:jc w:val="both"/>
      </w:pPr>
      <w:r>
        <w:t>Není-li u technického parametru uvedeno, že jde o minimální či maximální hodnotu, lze nabídnout technické řešení, které poskytuje vyšší užitnou hodnotu, pokud tím nebude ohrožena kompatibilita, interoperabilita nebo integrace v rámci cílového prostředí.</w:t>
      </w:r>
    </w:p>
    <w:p w14:paraId="4FEF6747" w14:textId="09ABAFE8" w:rsidR="00FF2308" w:rsidRDefault="00C26579" w:rsidP="00FF2308">
      <w:pPr>
        <w:pStyle w:val="Nadpis1"/>
      </w:pPr>
      <w:r>
        <w:t>Stávající a cílový stav</w:t>
      </w:r>
    </w:p>
    <w:p w14:paraId="62C4099A" w14:textId="77777777" w:rsidR="00FF2308" w:rsidRDefault="00FF2308" w:rsidP="000C24A9">
      <w:pPr>
        <w:jc w:val="both"/>
      </w:pPr>
      <w:r>
        <w:t>V současnosti Městský úřad Litvínov poskytuje služby ve třech hlavních lokalitách:</w:t>
      </w:r>
    </w:p>
    <w:p w14:paraId="15B15494" w14:textId="7928B5D5" w:rsidR="00FF2308" w:rsidRDefault="00FF2308" w:rsidP="000C24A9">
      <w:pPr>
        <w:pStyle w:val="Odstavecseseznamem"/>
        <w:numPr>
          <w:ilvl w:val="0"/>
          <w:numId w:val="20"/>
        </w:numPr>
        <w:jc w:val="both"/>
      </w:pPr>
      <w:r>
        <w:t>budova nám. Míru 11 (RADNICE)</w:t>
      </w:r>
      <w:r w:rsidR="00F66F4F">
        <w:t>,</w:t>
      </w:r>
    </w:p>
    <w:p w14:paraId="4F06805D" w14:textId="4C739C2F" w:rsidR="00FF2308" w:rsidRDefault="00FF2308" w:rsidP="000C24A9">
      <w:pPr>
        <w:pStyle w:val="Odstavecseseznamem"/>
        <w:numPr>
          <w:ilvl w:val="0"/>
          <w:numId w:val="20"/>
        </w:numPr>
        <w:jc w:val="both"/>
      </w:pPr>
      <w:r>
        <w:t>budova Vodní 871 (VODNÍ)</w:t>
      </w:r>
      <w:r w:rsidR="00F66F4F">
        <w:t>,</w:t>
      </w:r>
    </w:p>
    <w:p w14:paraId="47775E61" w14:textId="2C65C126" w:rsidR="00FF2308" w:rsidRDefault="00FF2308" w:rsidP="000C24A9">
      <w:pPr>
        <w:pStyle w:val="Odstavecseseznamem"/>
        <w:numPr>
          <w:ilvl w:val="0"/>
          <w:numId w:val="20"/>
        </w:numPr>
        <w:jc w:val="both"/>
      </w:pPr>
      <w:r>
        <w:t>budova Tržní 2042 (TRŽNÍ).</w:t>
      </w:r>
    </w:p>
    <w:p w14:paraId="23B3EB3D" w14:textId="00E4D1C4" w:rsidR="00FF2308" w:rsidRDefault="00FF2308" w:rsidP="000C24A9">
      <w:pPr>
        <w:keepNext/>
      </w:pPr>
      <w:r>
        <w:t>Budovy jsou propojeny následovně:</w:t>
      </w:r>
    </w:p>
    <w:p w14:paraId="59F86FFF" w14:textId="062E6B42" w:rsidR="00FF2308" w:rsidRDefault="00860316" w:rsidP="00FF2308">
      <w:pPr>
        <w:jc w:val="center"/>
        <w:rPr>
          <w:noProof/>
          <w:kern w:val="0"/>
        </w:rPr>
      </w:pPr>
      <w:r>
        <w:rPr>
          <w:noProof/>
        </w:rPr>
        <w:object w:dxaOrig="9961" w:dyaOrig="5640" w14:anchorId="45A5B6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6.15pt;height:2in;mso-width-percent:0;mso-height-percent:0;mso-width-percent:0;mso-height-percent:0" o:ole="">
            <v:imagedata r:id="rId7" o:title=""/>
          </v:shape>
          <o:OLEObject Type="Embed" ProgID="Visio.Drawing.15" ShapeID="_x0000_i1025" DrawAspect="Content" ObjectID="_1808638909" r:id="rId8"/>
        </w:object>
      </w:r>
    </w:p>
    <w:p w14:paraId="0AE9C6CB" w14:textId="77777777" w:rsidR="00C26579" w:rsidRDefault="00C26579" w:rsidP="00C26579">
      <w:pPr>
        <w:jc w:val="both"/>
      </w:pPr>
      <w:r>
        <w:t xml:space="preserve">Serverová vysoce dostupná virtualizovaná infrastruktura je tvořena 3 </w:t>
      </w:r>
      <w:proofErr w:type="spellStart"/>
      <w:r>
        <w:t>nodovým</w:t>
      </w:r>
      <w:proofErr w:type="spellEnd"/>
      <w:r>
        <w:t xml:space="preserve"> ESX </w:t>
      </w:r>
      <w:proofErr w:type="spellStart"/>
      <w:r>
        <w:t>vSAN</w:t>
      </w:r>
      <w:proofErr w:type="spellEnd"/>
      <w:r>
        <w:t xml:space="preserve"> clusterem.</w:t>
      </w:r>
    </w:p>
    <w:p w14:paraId="59133BCF" w14:textId="57F000D6" w:rsidR="00FF2308" w:rsidRPr="00C31209" w:rsidRDefault="00EB5619" w:rsidP="000C24A9">
      <w:pPr>
        <w:jc w:val="both"/>
      </w:pPr>
      <w:r>
        <w:lastRenderedPageBreak/>
        <w:t>L</w:t>
      </w:r>
      <w:r w:rsidR="001F7743">
        <w:t>okality</w:t>
      </w:r>
      <w:r w:rsidR="001F7743" w:rsidRPr="001F7743">
        <w:t xml:space="preserve"> jsou </w:t>
      </w:r>
      <w:r w:rsidR="001F7743" w:rsidRPr="00C31209">
        <w:t>osazen</w:t>
      </w:r>
      <w:r w:rsidR="00F66F4F" w:rsidRPr="00C31209">
        <w:t>y</w:t>
      </w:r>
      <w:r w:rsidR="001F7743" w:rsidRPr="00C31209">
        <w:t xml:space="preserve"> centrální</w:t>
      </w:r>
      <w:r>
        <w:t>mi</w:t>
      </w:r>
      <w:r w:rsidR="001F7743" w:rsidRPr="00C31209">
        <w:t xml:space="preserve"> přepínač</w:t>
      </w:r>
      <w:r>
        <w:t>i</w:t>
      </w:r>
      <w:r w:rsidR="001F7743" w:rsidRPr="00C31209">
        <w:t xml:space="preserve"> Aruba 6300M</w:t>
      </w:r>
      <w:r>
        <w:t xml:space="preserve"> </w:t>
      </w:r>
      <w:r w:rsidRPr="00C31209">
        <w:t>(dvojice na lokalitu)</w:t>
      </w:r>
      <w:r w:rsidR="001F7743" w:rsidRPr="00C31209">
        <w:t>, které jsou spojeny do kruhu,</w:t>
      </w:r>
      <w:r w:rsidR="00164AB5" w:rsidRPr="00C31209">
        <w:t xml:space="preserve"> v </w:t>
      </w:r>
      <w:r w:rsidR="001F7743" w:rsidRPr="00C31209">
        <w:t xml:space="preserve">tzv. </w:t>
      </w:r>
      <w:proofErr w:type="spellStart"/>
      <w:r w:rsidR="001F7743" w:rsidRPr="00C31209">
        <w:t>stacku</w:t>
      </w:r>
      <w:proofErr w:type="spellEnd"/>
      <w:r w:rsidR="001F7743" w:rsidRPr="00C31209">
        <w:t>, chovají se</w:t>
      </w:r>
      <w:r w:rsidR="00164AB5" w:rsidRPr="00C31209">
        <w:t xml:space="preserve"> a </w:t>
      </w:r>
      <w:r w:rsidR="001F7743" w:rsidRPr="00C31209">
        <w:t>spravují jako jeden.</w:t>
      </w:r>
    </w:p>
    <w:p w14:paraId="67B1CAD3" w14:textId="368DC992" w:rsidR="001F7743" w:rsidRDefault="001F7743" w:rsidP="000C24A9">
      <w:pPr>
        <w:jc w:val="both"/>
      </w:pPr>
      <w:r>
        <w:t>Zadavatel má virtualizované prostředí pokryté licencemi Windows Server Datacenter</w:t>
      </w:r>
      <w:r w:rsidR="00C26579">
        <w:t xml:space="preserve"> 2022</w:t>
      </w:r>
      <w:r>
        <w:t>.</w:t>
      </w:r>
    </w:p>
    <w:p w14:paraId="027D05CC" w14:textId="0E430AD7" w:rsidR="001F7743" w:rsidRDefault="009A51C4" w:rsidP="000C24A9">
      <w:pPr>
        <w:jc w:val="both"/>
      </w:pPr>
      <w:r>
        <w:t>P</w:t>
      </w:r>
      <w:r w:rsidR="001F7743">
        <w:t xml:space="preserve">ro monitoring prostředí Zadavatel využívá nástroj </w:t>
      </w:r>
      <w:r>
        <w:t>PRTG</w:t>
      </w:r>
      <w:r w:rsidR="001F7743">
        <w:t>.</w:t>
      </w:r>
    </w:p>
    <w:p w14:paraId="6EF21314" w14:textId="77777777" w:rsidR="00C26579" w:rsidRDefault="00C26579" w:rsidP="00C26579">
      <w:r>
        <w:t xml:space="preserve">Zadavatel plánuje v lokalitě náměstí Míru 11 vybudovat tzv. </w:t>
      </w:r>
      <w:proofErr w:type="spellStart"/>
      <w:r>
        <w:t>disaster</w:t>
      </w:r>
      <w:proofErr w:type="spellEnd"/>
      <w:r>
        <w:t xml:space="preserve"> </w:t>
      </w:r>
      <w:proofErr w:type="spellStart"/>
      <w:r>
        <w:t>recovery</w:t>
      </w:r>
      <w:proofErr w:type="spellEnd"/>
      <w:r>
        <w:t xml:space="preserve"> (DR) lokalitu, ve které bude umístěn dostatečně výkonný server pro provoz klíčových technologií v případě nedostupnosti primární lokality Tržní 2042. </w:t>
      </w:r>
    </w:p>
    <w:p w14:paraId="1CF201A0" w14:textId="1A880344" w:rsidR="00C26579" w:rsidRDefault="00C26579" w:rsidP="00C26579">
      <w:r>
        <w:t xml:space="preserve">Zároveň na tomto serveru bude provozován zálohovací server a doménový řadič jako virtuální server. Na server budou prováděny repliky virtuálních serverů z primárního </w:t>
      </w:r>
      <w:proofErr w:type="spellStart"/>
      <w:r>
        <w:t>VMware</w:t>
      </w:r>
      <w:proofErr w:type="spellEnd"/>
      <w:r>
        <w:t xml:space="preserve"> clusteru. Dále bude na serveru prováděna testovací obnova záloh apod.</w:t>
      </w:r>
    </w:p>
    <w:p w14:paraId="172251A3" w14:textId="5643BDF1" w:rsidR="00C26579" w:rsidRDefault="00EB5619" w:rsidP="00C26579">
      <w:r>
        <w:t>V</w:t>
      </w:r>
      <w:r w:rsidR="00C26579">
        <w:t xml:space="preserve"> této lokalitě </w:t>
      </w:r>
      <w:r>
        <w:t xml:space="preserve">bude </w:t>
      </w:r>
      <w:r w:rsidR="00C26579">
        <w:t>umístěno</w:t>
      </w:r>
      <w:r>
        <w:t xml:space="preserve"> i</w:t>
      </w:r>
      <w:r w:rsidR="00C26579">
        <w:t xml:space="preserve"> nové zálohovací úložiště s možností využití časových zámků na uložené zálohy. Zařízení musí být plně kompatibilní se stávajícím zálohovacím řešením </w:t>
      </w:r>
      <w:proofErr w:type="spellStart"/>
      <w:r w:rsidR="00C26579">
        <w:t>Veeam</w:t>
      </w:r>
      <w:proofErr w:type="spellEnd"/>
      <w:r>
        <w:t xml:space="preserve"> </w:t>
      </w:r>
      <w:proofErr w:type="spellStart"/>
      <w:r w:rsidR="00C26579">
        <w:t>Backup&amp;Replication</w:t>
      </w:r>
      <w:proofErr w:type="spellEnd"/>
      <w:r w:rsidR="00C26579">
        <w:t xml:space="preserve"> ve verzi </w:t>
      </w:r>
      <w:proofErr w:type="spellStart"/>
      <w:r w:rsidR="00C26579">
        <w:t>Enterprise</w:t>
      </w:r>
      <w:proofErr w:type="spellEnd"/>
      <w:r w:rsidR="00C26579">
        <w:t xml:space="preserve">, na kterou má Zadavatel platnou </w:t>
      </w:r>
      <w:proofErr w:type="spellStart"/>
      <w:r w:rsidR="00C26579">
        <w:t>maintenance</w:t>
      </w:r>
      <w:proofErr w:type="spellEnd"/>
      <w:r w:rsidR="00C26579">
        <w:t xml:space="preserve">. </w:t>
      </w:r>
    </w:p>
    <w:p w14:paraId="1D78AEB4" w14:textId="3912F48F" w:rsidR="00F66F4F" w:rsidRDefault="00C26579" w:rsidP="00EB5619">
      <w:pPr>
        <w:rPr>
          <w:rFonts w:asciiTheme="majorHAnsi" w:eastAsiaTheme="majorEastAsia" w:hAnsiTheme="majorHAnsi" w:cstheme="majorBidi"/>
          <w:color w:val="2F5496" w:themeColor="accent1" w:themeShade="BF"/>
          <w:sz w:val="32"/>
          <w:szCs w:val="32"/>
        </w:rPr>
      </w:pPr>
      <w:r>
        <w:t xml:space="preserve">Dále Zadavatel vlastní licenci ESX Standard s platnou </w:t>
      </w:r>
      <w:proofErr w:type="spellStart"/>
      <w:r>
        <w:t>maintenance</w:t>
      </w:r>
      <w:proofErr w:type="spellEnd"/>
      <w:r>
        <w:t xml:space="preserve"> pro celkem 32 jader.</w:t>
      </w:r>
    </w:p>
    <w:p w14:paraId="02F712C9" w14:textId="6CF3C56A" w:rsidR="00164AB5" w:rsidRDefault="00164AB5" w:rsidP="00164AB5">
      <w:pPr>
        <w:pStyle w:val="Nadpis1"/>
      </w:pPr>
      <w:r>
        <w:t>Implementační služby</w:t>
      </w:r>
    </w:p>
    <w:p w14:paraId="21C3FD7B" w14:textId="75B5F1AC" w:rsidR="00164AB5" w:rsidRDefault="00164AB5" w:rsidP="00164AB5">
      <w:pPr>
        <w:pStyle w:val="Nadpis2"/>
        <w:numPr>
          <w:ilvl w:val="0"/>
          <w:numId w:val="10"/>
        </w:numPr>
      </w:pPr>
      <w:r>
        <w:t>Obecné požadavky</w:t>
      </w:r>
    </w:p>
    <w:p w14:paraId="36556185" w14:textId="77777777" w:rsidR="00C26579" w:rsidRDefault="00C26579" w:rsidP="00C26579">
      <w:pPr>
        <w:jc w:val="both"/>
      </w:pPr>
      <w:r w:rsidRPr="0025146D">
        <w:t>Zadavatel požaduje provedení následujících implementačních činností na dodaných komponentech a případně dalších zařízeních. Rozsah služeb zahrnuje minimálně tyto kroky:</w:t>
      </w:r>
    </w:p>
    <w:p w14:paraId="048AF161" w14:textId="77777777" w:rsidR="00C26579" w:rsidRDefault="00C26579" w:rsidP="00C26579">
      <w:pPr>
        <w:pStyle w:val="Odstavecseseznamem"/>
        <w:numPr>
          <w:ilvl w:val="0"/>
          <w:numId w:val="25"/>
        </w:numPr>
        <w:jc w:val="both"/>
      </w:pPr>
      <w:r w:rsidRPr="0025146D">
        <w:rPr>
          <w:b/>
          <w:bCs/>
        </w:rPr>
        <w:t>Zpracování prováděcí dokumentace</w:t>
      </w:r>
      <w:r>
        <w:t>, která musí být před zahájením realizace dodávek schválena zadavatelem. Tato dokumentace bude zahrnovat:</w:t>
      </w:r>
    </w:p>
    <w:p w14:paraId="615AC358" w14:textId="77777777" w:rsidR="00C26579" w:rsidRDefault="00C26579" w:rsidP="00C26579">
      <w:pPr>
        <w:pStyle w:val="Odstavecseseznamem"/>
        <w:numPr>
          <w:ilvl w:val="1"/>
          <w:numId w:val="22"/>
        </w:numPr>
        <w:jc w:val="both"/>
      </w:pPr>
      <w:proofErr w:type="spellStart"/>
      <w:r>
        <w:t>předimplementační</w:t>
      </w:r>
      <w:proofErr w:type="spellEnd"/>
      <w:r>
        <w:t xml:space="preserve"> analýzu,</w:t>
      </w:r>
    </w:p>
    <w:p w14:paraId="7204EE24" w14:textId="77777777" w:rsidR="00C26579" w:rsidRDefault="00C26579" w:rsidP="00C26579">
      <w:pPr>
        <w:pStyle w:val="Odstavecseseznamem"/>
        <w:numPr>
          <w:ilvl w:val="1"/>
          <w:numId w:val="22"/>
        </w:numPr>
        <w:jc w:val="both"/>
      </w:pPr>
      <w:r>
        <w:t xml:space="preserve">návrh cílového konceptu řešen. </w:t>
      </w:r>
    </w:p>
    <w:p w14:paraId="4230DFDA" w14:textId="77777777" w:rsidR="00C26579" w:rsidRPr="0025146D" w:rsidRDefault="00C26579" w:rsidP="00C26579">
      <w:pPr>
        <w:pStyle w:val="Odstavecseseznamem"/>
        <w:numPr>
          <w:ilvl w:val="0"/>
          <w:numId w:val="22"/>
        </w:numPr>
      </w:pPr>
      <w:r w:rsidRPr="0025146D">
        <w:rPr>
          <w:b/>
          <w:bCs/>
        </w:rPr>
        <w:t>Dodávku a implementaci řešení</w:t>
      </w:r>
      <w:r w:rsidRPr="0025146D">
        <w:t xml:space="preserve"> v souladu se schváleným cílovým konceptem.</w:t>
      </w:r>
    </w:p>
    <w:p w14:paraId="680882F0" w14:textId="77777777" w:rsidR="00C26579" w:rsidRDefault="00C26579" w:rsidP="00C26579">
      <w:pPr>
        <w:pStyle w:val="Odstavecseseznamem"/>
        <w:numPr>
          <w:ilvl w:val="0"/>
          <w:numId w:val="22"/>
        </w:numPr>
        <w:jc w:val="both"/>
      </w:pPr>
      <w:r w:rsidRPr="0025146D">
        <w:rPr>
          <w:b/>
          <w:bCs/>
        </w:rPr>
        <w:t>Zajištění projektového řízení</w:t>
      </w:r>
      <w:r w:rsidRPr="0025146D">
        <w:t xml:space="preserve"> po celou dobu realizace zakázky.</w:t>
      </w:r>
    </w:p>
    <w:p w14:paraId="29941BBD" w14:textId="77777777" w:rsidR="00C26579" w:rsidRDefault="00C26579" w:rsidP="00C26579">
      <w:pPr>
        <w:pStyle w:val="Odstavecseseznamem"/>
        <w:numPr>
          <w:ilvl w:val="0"/>
          <w:numId w:val="22"/>
        </w:numPr>
        <w:jc w:val="both"/>
      </w:pPr>
      <w:r w:rsidRPr="0025146D">
        <w:rPr>
          <w:b/>
          <w:bCs/>
        </w:rPr>
        <w:t>Zpracování školicích materiálů a realizaci školení</w:t>
      </w:r>
      <w:r w:rsidRPr="0025146D">
        <w:t xml:space="preserve"> pro 3 administrátory v sídle zadavatele v rozsahu 2 pracovních dnů.</w:t>
      </w:r>
    </w:p>
    <w:p w14:paraId="31F8E060" w14:textId="77777777" w:rsidR="00C26579" w:rsidRDefault="00C26579" w:rsidP="00C26579">
      <w:pPr>
        <w:pStyle w:val="Odstavecseseznamem"/>
        <w:numPr>
          <w:ilvl w:val="0"/>
          <w:numId w:val="22"/>
        </w:numPr>
        <w:jc w:val="both"/>
      </w:pPr>
      <w:r w:rsidRPr="0025146D">
        <w:rPr>
          <w:b/>
          <w:bCs/>
        </w:rPr>
        <w:t>Zajištění zkušebního provozu</w:t>
      </w:r>
      <w:r w:rsidRPr="0025146D">
        <w:t xml:space="preserve"> v délce minimálně 14 kalendářních dnů. Během tohoto období musí být k dispozici technická podpora alespoň dvou specialistů na dodané řešení, s maximální dobou dojezdu 3 hodiny od nahlášení požadavku v pracovních dnech mezi 8:00 a 17:00.</w:t>
      </w:r>
    </w:p>
    <w:p w14:paraId="33C49DFD" w14:textId="77777777" w:rsidR="00C26579" w:rsidRPr="0025146D" w:rsidRDefault="00C26579" w:rsidP="00C26579">
      <w:pPr>
        <w:pStyle w:val="Odstavecseseznamem"/>
        <w:numPr>
          <w:ilvl w:val="0"/>
          <w:numId w:val="22"/>
        </w:numPr>
        <w:jc w:val="both"/>
      </w:pPr>
      <w:r w:rsidRPr="0025146D">
        <w:rPr>
          <w:b/>
          <w:bCs/>
        </w:rPr>
        <w:t>Předání systému do ostrého provozu</w:t>
      </w:r>
      <w:r w:rsidRPr="0025146D">
        <w:t>. Akceptace bude provedena pouze v případě úspěšného ukončení bezproblémového zkušebního provozu.</w:t>
      </w:r>
    </w:p>
    <w:p w14:paraId="18EDC7F5" w14:textId="77777777" w:rsidR="00C26579" w:rsidRDefault="00C26579" w:rsidP="00C26579">
      <w:pPr>
        <w:jc w:val="both"/>
        <w:rPr>
          <w:kern w:val="0"/>
          <w14:ligatures w14:val="none"/>
        </w:rPr>
      </w:pPr>
      <w:r w:rsidRPr="0025146D">
        <w:rPr>
          <w:kern w:val="0"/>
          <w14:ligatures w14:val="none"/>
        </w:rPr>
        <w:t>Veškeré náklady spojené s implementačními službami a školením musí být zahrnuty v nabídkové ceně (neuvádějí se samostatně).</w:t>
      </w:r>
    </w:p>
    <w:p w14:paraId="751CBBB2" w14:textId="77777777" w:rsidR="00C26579" w:rsidRDefault="00C26579" w:rsidP="00C26579">
      <w:pPr>
        <w:jc w:val="both"/>
      </w:pPr>
      <w:r w:rsidRPr="0025146D">
        <w:t>Všechny dodané dokumenty musí být vyhotoveny výhradně v českém jazyce a předány v elektronické podobě ve standardních formátech používaných zadavatelem (např. MS Office).</w:t>
      </w:r>
    </w:p>
    <w:p w14:paraId="0CBFF551" w14:textId="446D05C9" w:rsidR="005725E4" w:rsidRDefault="005725E4" w:rsidP="005725E4">
      <w:pPr>
        <w:pStyle w:val="Nadpis2"/>
      </w:pPr>
      <w:r>
        <w:t>Požadavky na zpracování prováděcí dokumentace</w:t>
      </w:r>
    </w:p>
    <w:p w14:paraId="588CAEF3" w14:textId="77777777" w:rsidR="00C26579" w:rsidRDefault="00C26579" w:rsidP="00C26579">
      <w:pPr>
        <w:jc w:val="both"/>
      </w:pPr>
      <w:r>
        <w:t xml:space="preserve">Dodavatel před zahájením implementačních prací zpracuje prováděcí dokumentaci, která bude vycházet z </w:t>
      </w:r>
      <w:proofErr w:type="spellStart"/>
      <w:r>
        <w:t>předimplementační</w:t>
      </w:r>
      <w:proofErr w:type="spellEnd"/>
      <w:r>
        <w:t xml:space="preserve"> analýzy a bude obsahovat veškeré aktivity nezbytné pro úspěšnou realizaci předmětu plnění.</w:t>
      </w:r>
    </w:p>
    <w:p w14:paraId="6406BA65" w14:textId="77777777" w:rsidR="00EB5619" w:rsidRDefault="00EB5619">
      <w:pPr>
        <w:spacing w:after="160" w:line="259" w:lineRule="auto"/>
      </w:pPr>
      <w:r>
        <w:br w:type="page"/>
      </w:r>
    </w:p>
    <w:p w14:paraId="282080A3" w14:textId="273CD6BC" w:rsidR="00C26579" w:rsidRDefault="00C26579" w:rsidP="00C26579">
      <w:pPr>
        <w:jc w:val="both"/>
      </w:pPr>
      <w:proofErr w:type="spellStart"/>
      <w:r>
        <w:lastRenderedPageBreak/>
        <w:t>Předimplementační</w:t>
      </w:r>
      <w:proofErr w:type="spellEnd"/>
      <w:r>
        <w:t xml:space="preserve"> analýza bude reflektovat aktuální prostředí zadavatele a navrhované řešení dodavatele. Minimálně bude zahrnovat tyto oblasti:</w:t>
      </w:r>
    </w:p>
    <w:p w14:paraId="01F3B753" w14:textId="77777777" w:rsidR="00C26579" w:rsidRDefault="00C26579" w:rsidP="00C26579">
      <w:pPr>
        <w:pStyle w:val="Odstavecseseznamem"/>
        <w:numPr>
          <w:ilvl w:val="0"/>
          <w:numId w:val="14"/>
        </w:numPr>
        <w:jc w:val="both"/>
      </w:pPr>
      <w:r>
        <w:t>Analýzu stávající konfigurace a vazeb na související systémy,</w:t>
      </w:r>
    </w:p>
    <w:p w14:paraId="7DCC90EA" w14:textId="77777777" w:rsidR="00C26579" w:rsidRDefault="00C26579" w:rsidP="00C26579">
      <w:pPr>
        <w:pStyle w:val="Odstavecseseznamem"/>
        <w:numPr>
          <w:ilvl w:val="0"/>
          <w:numId w:val="14"/>
        </w:numPr>
        <w:jc w:val="both"/>
      </w:pPr>
      <w:r>
        <w:t>Identifikaci požadované součinnosti ze strany zadavatele.</w:t>
      </w:r>
    </w:p>
    <w:p w14:paraId="2BE04FD5" w14:textId="77777777" w:rsidR="00C26579" w:rsidRDefault="00C26579" w:rsidP="00C26579">
      <w:pPr>
        <w:jc w:val="both"/>
      </w:pPr>
      <w:r>
        <w:t>Na základě této analýzy bude vytvořen cílový koncept, který zohlední výchozí stav i technické parametry nabízeného řešení. Cílový koncept bude obsahovat minimálně:</w:t>
      </w:r>
    </w:p>
    <w:p w14:paraId="57635B4B" w14:textId="77777777" w:rsidR="00C26579" w:rsidRDefault="00C26579" w:rsidP="00C26579">
      <w:pPr>
        <w:pStyle w:val="Odstavecseseznamem"/>
        <w:numPr>
          <w:ilvl w:val="0"/>
          <w:numId w:val="15"/>
        </w:numPr>
        <w:jc w:val="both"/>
      </w:pPr>
      <w:r w:rsidRPr="0025146D">
        <w:t>podrobný popis cílového stavu a funkcionality jednotlivých částí řešení,</w:t>
      </w:r>
    </w:p>
    <w:p w14:paraId="19B23FF0" w14:textId="77777777" w:rsidR="00C26579" w:rsidRPr="0025146D" w:rsidRDefault="00C26579" w:rsidP="00C26579">
      <w:pPr>
        <w:pStyle w:val="Odstavecseseznamem"/>
        <w:numPr>
          <w:ilvl w:val="0"/>
          <w:numId w:val="15"/>
        </w:numPr>
      </w:pPr>
      <w:r w:rsidRPr="0025146D">
        <w:t>přehled nutných a doporučených optimalizačních a konfiguračních změn navázaných systémů,</w:t>
      </w:r>
    </w:p>
    <w:p w14:paraId="664B9F0B" w14:textId="77777777" w:rsidR="00C26579" w:rsidRPr="0025146D" w:rsidRDefault="00C26579" w:rsidP="00C26579">
      <w:pPr>
        <w:pStyle w:val="Odstavecseseznamem"/>
        <w:numPr>
          <w:ilvl w:val="0"/>
          <w:numId w:val="15"/>
        </w:numPr>
      </w:pPr>
      <w:r w:rsidRPr="0025146D">
        <w:t>způsob zajištění jednotlivých dodávek a služeb, včetně časového harmonogramu,</w:t>
      </w:r>
    </w:p>
    <w:p w14:paraId="7E21666C" w14:textId="77777777" w:rsidR="00C26579" w:rsidRPr="0025146D" w:rsidRDefault="00C26579" w:rsidP="00C26579">
      <w:pPr>
        <w:pStyle w:val="Odstavecseseznamem"/>
        <w:numPr>
          <w:ilvl w:val="0"/>
          <w:numId w:val="15"/>
        </w:numPr>
      </w:pPr>
      <w:r w:rsidRPr="0025146D">
        <w:t>způsob zajištění jednotlivých dodávek a služeb, včetně časového harmonogramu,</w:t>
      </w:r>
    </w:p>
    <w:p w14:paraId="62633FFC" w14:textId="77777777" w:rsidR="00C26579" w:rsidRPr="0025146D" w:rsidRDefault="00C26579" w:rsidP="00C26579">
      <w:pPr>
        <w:pStyle w:val="Odstavecseseznamem"/>
        <w:numPr>
          <w:ilvl w:val="0"/>
          <w:numId w:val="15"/>
        </w:numPr>
      </w:pPr>
      <w:r w:rsidRPr="0025146D">
        <w:t>detailní návrh implementačního postupu,</w:t>
      </w:r>
    </w:p>
    <w:p w14:paraId="149A7F0A" w14:textId="77777777" w:rsidR="00C26579" w:rsidRPr="0025146D" w:rsidRDefault="00C26579" w:rsidP="00C26579">
      <w:pPr>
        <w:pStyle w:val="Odstavecseseznamem"/>
        <w:numPr>
          <w:ilvl w:val="0"/>
          <w:numId w:val="15"/>
        </w:numPr>
      </w:pPr>
      <w:r w:rsidRPr="0025146D">
        <w:t>způsob zajištění informační bezpečnosti,</w:t>
      </w:r>
    </w:p>
    <w:p w14:paraId="060869F8" w14:textId="77777777" w:rsidR="00C26579" w:rsidRPr="0025146D" w:rsidRDefault="00C26579" w:rsidP="00C26579">
      <w:pPr>
        <w:pStyle w:val="Odstavecseseznamem"/>
        <w:numPr>
          <w:ilvl w:val="0"/>
          <w:numId w:val="15"/>
        </w:numPr>
      </w:pPr>
      <w:r w:rsidRPr="0025146D">
        <w:t>projektový harmonogram s vyznačením klíčových milníků,</w:t>
      </w:r>
    </w:p>
    <w:p w14:paraId="0BD5FF93" w14:textId="77777777" w:rsidR="00C26579" w:rsidRPr="0025146D" w:rsidRDefault="00C26579" w:rsidP="00C26579">
      <w:pPr>
        <w:pStyle w:val="Odstavecseseznamem"/>
        <w:numPr>
          <w:ilvl w:val="0"/>
          <w:numId w:val="15"/>
        </w:numPr>
      </w:pPr>
      <w:r w:rsidRPr="0025146D">
        <w:t>popis vazeb na stávající systémy a jejich konfiguraci,</w:t>
      </w:r>
    </w:p>
    <w:p w14:paraId="2BBA71E3" w14:textId="77777777" w:rsidR="00C26579" w:rsidRPr="002017A1" w:rsidRDefault="00C26579" w:rsidP="00C26579">
      <w:pPr>
        <w:pStyle w:val="Odstavecseseznamem"/>
        <w:numPr>
          <w:ilvl w:val="0"/>
          <w:numId w:val="15"/>
        </w:numPr>
      </w:pPr>
      <w:r w:rsidRPr="002017A1">
        <w:t>návrh akceptačních kritérií a testovacích scénářů,</w:t>
      </w:r>
    </w:p>
    <w:p w14:paraId="2AAFCFE2" w14:textId="77777777" w:rsidR="00C26579" w:rsidRDefault="00C26579" w:rsidP="00C26579">
      <w:pPr>
        <w:pStyle w:val="Odstavecseseznamem"/>
        <w:numPr>
          <w:ilvl w:val="0"/>
          <w:numId w:val="15"/>
        </w:numPr>
      </w:pPr>
      <w:r w:rsidRPr="002017A1">
        <w:t>specifikaci školení, jejich obsahu a rozsahu,</w:t>
      </w:r>
    </w:p>
    <w:p w14:paraId="35C6D058" w14:textId="77777777" w:rsidR="00C26579" w:rsidRPr="002017A1" w:rsidRDefault="00C26579" w:rsidP="00C26579">
      <w:pPr>
        <w:pStyle w:val="Odstavecseseznamem"/>
        <w:numPr>
          <w:ilvl w:val="0"/>
          <w:numId w:val="15"/>
        </w:numPr>
      </w:pPr>
      <w:r w:rsidRPr="002017A1">
        <w:t>přehled a strukturu provozní dokumentace.</w:t>
      </w:r>
    </w:p>
    <w:p w14:paraId="35D72743" w14:textId="0AD0CE73" w:rsidR="00B8477D" w:rsidRDefault="00B8477D" w:rsidP="00C26579">
      <w:pPr>
        <w:jc w:val="both"/>
      </w:pPr>
      <w:r>
        <w:t>V návrhu akceptačních kritérií a testovacích scénářů budou minimálně tyto kritéria:</w:t>
      </w:r>
    </w:p>
    <w:p w14:paraId="54282DD8" w14:textId="6FDF11E0" w:rsidR="00B8477D" w:rsidRDefault="00B8477D" w:rsidP="00B8477D">
      <w:pPr>
        <w:pStyle w:val="Odstavecseseznamem"/>
        <w:numPr>
          <w:ilvl w:val="0"/>
          <w:numId w:val="26"/>
        </w:numPr>
        <w:jc w:val="both"/>
      </w:pPr>
      <w:r>
        <w:t>Na DR serveru je provozován zálohovací server a jeden doménový řadič.</w:t>
      </w:r>
    </w:p>
    <w:p w14:paraId="1836D1AC" w14:textId="74E941A6" w:rsidR="00B8477D" w:rsidRDefault="00B8477D" w:rsidP="00B8477D">
      <w:pPr>
        <w:pStyle w:val="Odstavecseseznamem"/>
        <w:numPr>
          <w:ilvl w:val="0"/>
          <w:numId w:val="26"/>
        </w:numPr>
        <w:jc w:val="both"/>
      </w:pPr>
      <w:r>
        <w:t>Klíčové servery jsou replikovány na DR server.</w:t>
      </w:r>
    </w:p>
    <w:p w14:paraId="313B3FCE" w14:textId="72697AAB" w:rsidR="00B8477D" w:rsidRDefault="00B8477D" w:rsidP="00B8477D">
      <w:pPr>
        <w:pStyle w:val="Odstavecseseznamem"/>
        <w:numPr>
          <w:ilvl w:val="0"/>
          <w:numId w:val="26"/>
        </w:numPr>
        <w:jc w:val="both"/>
      </w:pPr>
      <w:r>
        <w:t>Zálohovací řešení obsahuje nové uložiště a zálohy na něj ukládané jsou označeny časovými zámky.</w:t>
      </w:r>
    </w:p>
    <w:p w14:paraId="6B93A50A" w14:textId="2518D77E" w:rsidR="00B8477D" w:rsidRDefault="00B8477D" w:rsidP="00B8477D">
      <w:pPr>
        <w:pStyle w:val="Odstavecseseznamem"/>
        <w:numPr>
          <w:ilvl w:val="0"/>
          <w:numId w:val="26"/>
        </w:numPr>
        <w:jc w:val="both"/>
      </w:pPr>
      <w:r>
        <w:t>Pokus o smazání zálohy byl neúspěšný.</w:t>
      </w:r>
    </w:p>
    <w:p w14:paraId="060057E4" w14:textId="1F11CC13" w:rsidR="00B8477D" w:rsidRDefault="00B8477D" w:rsidP="00B8477D">
      <w:pPr>
        <w:pStyle w:val="Odstavecseseznamem"/>
        <w:numPr>
          <w:ilvl w:val="0"/>
          <w:numId w:val="26"/>
        </w:numPr>
        <w:jc w:val="both"/>
      </w:pPr>
      <w:r>
        <w:t>Byla provedena testovací obnova ze zařízení (soubor, virtuální server).</w:t>
      </w:r>
    </w:p>
    <w:p w14:paraId="7AF624B8" w14:textId="3281731F" w:rsidR="00B8477D" w:rsidRDefault="00B8477D" w:rsidP="00B8477D">
      <w:pPr>
        <w:pStyle w:val="Odstavecseseznamem"/>
        <w:numPr>
          <w:ilvl w:val="0"/>
          <w:numId w:val="26"/>
        </w:numPr>
        <w:jc w:val="both"/>
      </w:pPr>
      <w:r>
        <w:t>Byla provedena revize zálohovacích plánů.</w:t>
      </w:r>
    </w:p>
    <w:p w14:paraId="0F154D87" w14:textId="2039FDAF" w:rsidR="00B8477D" w:rsidRDefault="00B8477D" w:rsidP="00B8477D">
      <w:pPr>
        <w:pStyle w:val="Odstavecseseznamem"/>
        <w:numPr>
          <w:ilvl w:val="0"/>
          <w:numId w:val="26"/>
        </w:numPr>
        <w:jc w:val="both"/>
      </w:pPr>
      <w:r>
        <w:t>Byla předána dokumentace skutečného provedení.</w:t>
      </w:r>
    </w:p>
    <w:p w14:paraId="27337F23" w14:textId="5F9A19A8" w:rsidR="00C26579" w:rsidRDefault="00C26579" w:rsidP="00C26579">
      <w:pPr>
        <w:jc w:val="both"/>
      </w:pPr>
      <w:r w:rsidRPr="002017A1">
        <w:t>Po předání dokumentace bude mít zadavatel lhůtu 10 pracovních dnů na její připomínkování. Dodavatel je povinen všechny připomínky vypořádat – buď jejich zapracováním, nebo formou písemného a odůvodněného odmítnutí v případě, že je považuje za nevalidní. Zadavatel nebude dokumentaci opravovat, ale pouze vyznačí věcné nebo formální nedostatky.</w:t>
      </w:r>
    </w:p>
    <w:p w14:paraId="7DA119E8" w14:textId="77777777" w:rsidR="00C26579" w:rsidRPr="002017A1" w:rsidRDefault="00C26579" w:rsidP="00C26579">
      <w:r w:rsidRPr="002017A1">
        <w:t>Prováděcí dokumentace musí být výslovně schválena zadavatelem před zahájením dalších etap plnění.</w:t>
      </w:r>
    </w:p>
    <w:p w14:paraId="286BE254" w14:textId="77777777" w:rsidR="00C26579" w:rsidRDefault="00C26579" w:rsidP="00C26579">
      <w:pPr>
        <w:jc w:val="both"/>
      </w:pPr>
      <w:r w:rsidRPr="002017A1">
        <w:t>Po realizaci implementace bude dokumentace aktualizována dle skutečně provedeného stavu, včetně všech konfigurací, nastavení a analytických výstupů. Tato aktualizovaná dokumentace bude nedílnou součástí dokumentace předávané v rámci akceptačního protokolu.</w:t>
      </w:r>
    </w:p>
    <w:p w14:paraId="148CB05E" w14:textId="77777777" w:rsidR="005725E4" w:rsidRDefault="005725E4">
      <w:pPr>
        <w:spacing w:after="160" w:line="259" w:lineRule="auto"/>
        <w:rPr>
          <w:rFonts w:asciiTheme="majorHAnsi" w:eastAsiaTheme="majorEastAsia" w:hAnsiTheme="majorHAnsi" w:cstheme="majorBidi"/>
          <w:color w:val="2F5496" w:themeColor="accent1" w:themeShade="BF"/>
          <w:sz w:val="26"/>
          <w:szCs w:val="26"/>
        </w:rPr>
      </w:pPr>
      <w:r>
        <w:br w:type="page"/>
      </w:r>
    </w:p>
    <w:p w14:paraId="5742C731" w14:textId="77777777" w:rsidR="005725E4" w:rsidRDefault="005725E4" w:rsidP="005725E4">
      <w:pPr>
        <w:pStyle w:val="Nadpis2"/>
        <w:sectPr w:rsidR="005725E4" w:rsidSect="00860316">
          <w:headerReference w:type="default" r:id="rId9"/>
          <w:pgSz w:w="11906" w:h="16838"/>
          <w:pgMar w:top="1417" w:right="1417" w:bottom="1417" w:left="1417" w:header="708" w:footer="708" w:gutter="0"/>
          <w:cols w:space="708"/>
          <w:docGrid w:linePitch="360"/>
        </w:sectPr>
      </w:pPr>
    </w:p>
    <w:p w14:paraId="5C117523" w14:textId="77777777" w:rsidR="00400C32" w:rsidRDefault="00400C32" w:rsidP="00400C32">
      <w:pPr>
        <w:pStyle w:val="Nadpis1"/>
      </w:pPr>
      <w:r>
        <w:lastRenderedPageBreak/>
        <w:t>Požadované parametry technického řešení</w:t>
      </w:r>
    </w:p>
    <w:p w14:paraId="24C7967C" w14:textId="77777777" w:rsidR="00400C32" w:rsidRDefault="00400C32" w:rsidP="00400C32">
      <w:pPr>
        <w:pStyle w:val="Nadpis2"/>
        <w:numPr>
          <w:ilvl w:val="0"/>
          <w:numId w:val="24"/>
        </w:numPr>
      </w:pPr>
      <w:r>
        <w:t xml:space="preserve">Obecné </w:t>
      </w:r>
      <w:r w:rsidRPr="009A51C4">
        <w:t>požadavky</w:t>
      </w:r>
    </w:p>
    <w:p w14:paraId="24B7D7E9" w14:textId="77777777" w:rsidR="00C26579" w:rsidRDefault="00C26579" w:rsidP="00C26579">
      <w:pPr>
        <w:jc w:val="both"/>
      </w:pPr>
      <w:r>
        <w:t>Zadavatel při výstavbě, správě a provozu technologií důsledně uplatňuje princip technologické neutrality. To znamená, že využívá taková řešení, která neomezují možnost nasazení technologií od různých výrobců. Stejný přístup musí dodržovat i řešení nabízené v rámci této veřejné zakázky.</w:t>
      </w:r>
    </w:p>
    <w:p w14:paraId="3BE2D5BE" w14:textId="77777777" w:rsidR="00C26579" w:rsidRDefault="00C26579" w:rsidP="00C26579">
      <w:pPr>
        <w:jc w:val="both"/>
      </w:pPr>
      <w:r>
        <w:t>Nabízené řešení nesmí být závislé na jediné technologii nebo komponentě, která by omezovala jeho budoucí rozšiřitelnost nebo interoperabilitu.</w:t>
      </w:r>
    </w:p>
    <w:p w14:paraId="16A7BEAA" w14:textId="77777777" w:rsidR="00C26579" w:rsidRDefault="00C26579" w:rsidP="00C26579">
      <w:pPr>
        <w:jc w:val="both"/>
      </w:pPr>
      <w:r>
        <w:t>U každého softwarového produktu, který uchazeč zahrne do nabídky, musí být výslovně uvedeny veškeré licenční a výkonové požadavky spojené s jeho instalací a provozem. Součástí nabídky musí být rovněž specifikace hardwaru, na kterém bude řešení provozováno.</w:t>
      </w:r>
    </w:p>
    <w:p w14:paraId="11C90C14" w14:textId="77777777" w:rsidR="00BA70FC" w:rsidRDefault="00BA70FC" w:rsidP="00C26579">
      <w:pPr>
        <w:jc w:val="both"/>
      </w:pPr>
      <w:r w:rsidRPr="00BA70FC">
        <w:t>Účastník ve své nabídce přehledně a srozumitelně popíše, jakým způsobem splňuje každý z požadovaných parametrů, a to včetně uvedení konkrétní značky a specifikace nabízených položek. Tyto údaje může účastník uvést přímo do přiložené tabulky, nebo je doložit jinou vhodnou formou (např. katalogovými listy). V takovém případě však musí být v tabulce jednoznačně uvedeno, kde přesně se tyto informace v nabídce nacházejí.</w:t>
      </w:r>
    </w:p>
    <w:p w14:paraId="762FE634" w14:textId="6AFD483C" w:rsidR="00400C32" w:rsidRDefault="00A10239" w:rsidP="00C26579">
      <w:pPr>
        <w:jc w:val="both"/>
      </w:pPr>
      <w:r>
        <w:t>Dodavatel, se kterým bude uzavřena smlouva na plnění veřejné zakázky,</w:t>
      </w:r>
      <w:r w:rsidR="00400C32">
        <w:t xml:space="preserve"> </w:t>
      </w:r>
      <w:r>
        <w:t xml:space="preserve">před podpisem </w:t>
      </w:r>
      <w:r w:rsidR="009A7DE2">
        <w:t>a</w:t>
      </w:r>
      <w:r>
        <w:t xml:space="preserve">kceptačního protokolu </w:t>
      </w:r>
      <w:r w:rsidR="007A7FC7">
        <w:t xml:space="preserve">bez výhrad </w:t>
      </w:r>
      <w:r>
        <w:t>zadavateli doloží</w:t>
      </w:r>
      <w:r w:rsidR="00400C32">
        <w:t xml:space="preserve">, že všechny dodávky, které dodá </w:t>
      </w:r>
      <w:r>
        <w:t>z</w:t>
      </w:r>
      <w:r w:rsidR="00400C32">
        <w:t>adavateli:</w:t>
      </w:r>
    </w:p>
    <w:p w14:paraId="269F5905" w14:textId="77777777" w:rsidR="00400C32" w:rsidRDefault="00400C32" w:rsidP="000C24A9">
      <w:pPr>
        <w:pStyle w:val="Odstavecseseznamem"/>
        <w:numPr>
          <w:ilvl w:val="0"/>
          <w:numId w:val="6"/>
        </w:numPr>
        <w:jc w:val="both"/>
      </w:pPr>
      <w:r>
        <w:t>jsou nové, byly oprávněně uvedeny na trh v EU nebo pochází z autorizovaného prodejního kanálu výrobce,</w:t>
      </w:r>
    </w:p>
    <w:p w14:paraId="4A26DFAB" w14:textId="77777777" w:rsidR="00400C32" w:rsidRDefault="00400C32" w:rsidP="000C24A9">
      <w:pPr>
        <w:pStyle w:val="Odstavecseseznamem"/>
        <w:numPr>
          <w:ilvl w:val="0"/>
          <w:numId w:val="6"/>
        </w:numPr>
        <w:jc w:val="both"/>
      </w:pPr>
      <w:r>
        <w:t>mají plnou záruku od výrobce,</w:t>
      </w:r>
    </w:p>
    <w:p w14:paraId="7CED3CA5" w14:textId="6C37922F" w:rsidR="00400C32" w:rsidRDefault="00400C32" w:rsidP="000C24A9">
      <w:pPr>
        <w:pStyle w:val="Odstavecseseznamem"/>
        <w:numPr>
          <w:ilvl w:val="0"/>
          <w:numId w:val="6"/>
        </w:numPr>
        <w:jc w:val="both"/>
      </w:pPr>
      <w:r>
        <w:t>obsahuji licenci na používání příslušného softwaru,</w:t>
      </w:r>
    </w:p>
    <w:p w14:paraId="343C7C54" w14:textId="77777777" w:rsidR="00400C32" w:rsidRDefault="00400C32" w:rsidP="000C24A9">
      <w:pPr>
        <w:pStyle w:val="Odstavecseseznamem"/>
        <w:numPr>
          <w:ilvl w:val="0"/>
          <w:numId w:val="6"/>
        </w:numPr>
        <w:jc w:val="both"/>
      </w:pPr>
      <w:r>
        <w:t>jsou určeny pro provoz v České republice,</w:t>
      </w:r>
    </w:p>
    <w:p w14:paraId="0F7A7C0F" w14:textId="77777777" w:rsidR="00400C32" w:rsidRDefault="00400C32" w:rsidP="000C24A9">
      <w:pPr>
        <w:pStyle w:val="Odstavecseseznamem"/>
        <w:numPr>
          <w:ilvl w:val="0"/>
          <w:numId w:val="6"/>
        </w:numPr>
        <w:jc w:val="both"/>
      </w:pPr>
      <w:r>
        <w:t>z databází výrobce, distributora či prodejce bude možné výše uvedené skutečnosti doložit.</w:t>
      </w:r>
    </w:p>
    <w:p w14:paraId="68F6013F" w14:textId="43DFFCE6" w:rsidR="00400C32" w:rsidRDefault="00400C32" w:rsidP="000C24A9">
      <w:pPr>
        <w:jc w:val="both"/>
      </w:pPr>
      <w:r>
        <w:t xml:space="preserve">Tyto skutečnosti </w:t>
      </w:r>
      <w:r w:rsidR="009A7DE2">
        <w:t xml:space="preserve">dodavatel, se kterým bude uzavřena smlouva na plnění veřejné zakázky </w:t>
      </w:r>
      <w:r>
        <w:t>doloží</w:t>
      </w:r>
      <w:r w:rsidR="009A7DE2">
        <w:t>,</w:t>
      </w:r>
      <w:r>
        <w:t xml:space="preserve"> čestným prohlášením </w:t>
      </w:r>
      <w:r w:rsidR="009A7DE2">
        <w:t xml:space="preserve">výrobce, </w:t>
      </w:r>
      <w:r>
        <w:t>distributora</w:t>
      </w:r>
      <w:r w:rsidR="0078106E">
        <w:t xml:space="preserve"> (prodejce)</w:t>
      </w:r>
      <w:r>
        <w:t>, popř. uchazečem samotným, nelze-li prohlášení</w:t>
      </w:r>
      <w:r w:rsidR="009A7DE2">
        <w:t xml:space="preserve"> výrobce nebo</w:t>
      </w:r>
      <w:r>
        <w:t xml:space="preserve"> distributora</w:t>
      </w:r>
      <w:r w:rsidR="0078106E">
        <w:t xml:space="preserve"> (prodejce)</w:t>
      </w:r>
      <w:r>
        <w:t xml:space="preserve"> získat. Zadavatel si vyhrazuje právo na zjištění původu výrobku při</w:t>
      </w:r>
      <w:r w:rsidR="0078106E">
        <w:t> </w:t>
      </w:r>
      <w:r>
        <w:t>jejich převzetí, a to</w:t>
      </w:r>
      <w:r w:rsidR="00365759">
        <w:t> </w:t>
      </w:r>
      <w:r>
        <w:t>dle příslušných sériových čísel a právo podpisu akceptačního protokolu</w:t>
      </w:r>
      <w:r w:rsidR="004F2687">
        <w:t xml:space="preserve"> bez výhrad</w:t>
      </w:r>
      <w:r>
        <w:t>, osvědčujícího převzetí dodávky, až po ověření původu výrobku.</w:t>
      </w:r>
    </w:p>
    <w:p w14:paraId="5244F593" w14:textId="4A350D51" w:rsidR="00C26579" w:rsidRPr="00C26579" w:rsidRDefault="00BA70FC" w:rsidP="00C26579">
      <w:pPr>
        <w:sectPr w:rsidR="00C26579" w:rsidRPr="00C26579" w:rsidSect="00860316">
          <w:pgSz w:w="11906" w:h="16838"/>
          <w:pgMar w:top="1418" w:right="1418" w:bottom="1418" w:left="1418" w:header="709" w:footer="709" w:gutter="0"/>
          <w:cols w:space="708"/>
          <w:docGrid w:linePitch="360"/>
        </w:sectPr>
      </w:pPr>
      <w:r w:rsidRPr="00BA70FC">
        <w:t xml:space="preserve">Součástí plnění je poskytování standardní podpory a záruky po dobu minimálně 60 měsíců od data převzetí předmětu plnění, potvrzeného bez výhrad akceptačním protokolem. Tato podpora zahrnuje zejména nárok </w:t>
      </w:r>
      <w:r>
        <w:t>Z</w:t>
      </w:r>
      <w:r w:rsidRPr="00BA70FC">
        <w:t>adavatele na bezplatné dodání všech nových verzí dodaného softwaru a bezplatné provedení veškerých oprav dodaného hardwaru i softwaru</w:t>
      </w:r>
      <w:r>
        <w:t>.</w:t>
      </w:r>
    </w:p>
    <w:p w14:paraId="71C6AEA9" w14:textId="173082EE" w:rsidR="00400C32" w:rsidRDefault="00400C32" w:rsidP="00400C32">
      <w:pPr>
        <w:pStyle w:val="Nadpis2"/>
      </w:pPr>
      <w:r>
        <w:lastRenderedPageBreak/>
        <w:t>Technické požadavky</w:t>
      </w:r>
    </w:p>
    <w:tbl>
      <w:tblPr>
        <w:tblW w:w="14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3"/>
        <w:gridCol w:w="1710"/>
        <w:gridCol w:w="5809"/>
        <w:gridCol w:w="2835"/>
        <w:gridCol w:w="2495"/>
        <w:gridCol w:w="72"/>
      </w:tblGrid>
      <w:tr w:rsidR="00400C32" w:rsidRPr="005725E4" w14:paraId="65A0041F" w14:textId="77777777" w:rsidTr="00B8477D">
        <w:trPr>
          <w:gridAfter w:val="1"/>
          <w:wAfter w:w="72" w:type="dxa"/>
          <w:trHeight w:val="20"/>
        </w:trPr>
        <w:tc>
          <w:tcPr>
            <w:tcW w:w="1123" w:type="dxa"/>
            <w:shd w:val="clear" w:color="auto" w:fill="B4C6E7" w:themeFill="accent1" w:themeFillTint="66"/>
            <w:vAlign w:val="center"/>
            <w:hideMark/>
          </w:tcPr>
          <w:p w14:paraId="7BD9BB4B" w14:textId="77777777" w:rsidR="00400C32" w:rsidRPr="005725E4" w:rsidRDefault="00400C32" w:rsidP="002B046C">
            <w:pPr>
              <w:pStyle w:val="Bezmezer"/>
              <w:jc w:val="center"/>
              <w:rPr>
                <w:b/>
                <w:bCs/>
                <w:lang w:eastAsia="cs-CZ"/>
              </w:rPr>
            </w:pPr>
            <w:r w:rsidRPr="005725E4">
              <w:rPr>
                <w:b/>
                <w:bCs/>
                <w:lang w:eastAsia="cs-CZ"/>
              </w:rPr>
              <w:t>Část</w:t>
            </w:r>
          </w:p>
        </w:tc>
        <w:tc>
          <w:tcPr>
            <w:tcW w:w="1710" w:type="dxa"/>
            <w:shd w:val="clear" w:color="auto" w:fill="B4C6E7" w:themeFill="accent1" w:themeFillTint="66"/>
            <w:vAlign w:val="center"/>
            <w:hideMark/>
          </w:tcPr>
          <w:p w14:paraId="6AF3142B" w14:textId="77777777" w:rsidR="00400C32" w:rsidRPr="005725E4" w:rsidRDefault="00400C32" w:rsidP="002B046C">
            <w:pPr>
              <w:pStyle w:val="Bezmezer"/>
              <w:jc w:val="center"/>
              <w:rPr>
                <w:b/>
                <w:bCs/>
                <w:lang w:eastAsia="cs-CZ"/>
              </w:rPr>
            </w:pPr>
            <w:r w:rsidRPr="005725E4">
              <w:rPr>
                <w:b/>
                <w:bCs/>
                <w:lang w:eastAsia="cs-CZ"/>
              </w:rPr>
              <w:t>Parametr</w:t>
            </w:r>
          </w:p>
        </w:tc>
        <w:tc>
          <w:tcPr>
            <w:tcW w:w="5809" w:type="dxa"/>
            <w:shd w:val="clear" w:color="auto" w:fill="B4C6E7" w:themeFill="accent1" w:themeFillTint="66"/>
            <w:vAlign w:val="center"/>
            <w:hideMark/>
          </w:tcPr>
          <w:p w14:paraId="0A59B36E" w14:textId="77777777" w:rsidR="00400C32" w:rsidRPr="005725E4" w:rsidRDefault="00400C32" w:rsidP="002B046C">
            <w:pPr>
              <w:pStyle w:val="Bezmezer"/>
              <w:jc w:val="center"/>
              <w:rPr>
                <w:b/>
                <w:bCs/>
                <w:lang w:eastAsia="cs-CZ"/>
              </w:rPr>
            </w:pPr>
            <w:r w:rsidRPr="005725E4">
              <w:rPr>
                <w:b/>
                <w:bCs/>
                <w:lang w:eastAsia="cs-CZ"/>
              </w:rPr>
              <w:t>Popis povinného parametru</w:t>
            </w:r>
          </w:p>
        </w:tc>
        <w:tc>
          <w:tcPr>
            <w:tcW w:w="2835" w:type="dxa"/>
            <w:shd w:val="clear" w:color="auto" w:fill="B4C6E7" w:themeFill="accent1" w:themeFillTint="66"/>
            <w:vAlign w:val="center"/>
            <w:hideMark/>
          </w:tcPr>
          <w:p w14:paraId="2E45358A" w14:textId="77777777" w:rsidR="00400C32" w:rsidRPr="005725E4" w:rsidRDefault="00400C32" w:rsidP="002B046C">
            <w:pPr>
              <w:pStyle w:val="Bezmezer"/>
              <w:jc w:val="center"/>
              <w:rPr>
                <w:b/>
                <w:bCs/>
                <w:lang w:eastAsia="cs-CZ"/>
              </w:rPr>
            </w:pPr>
            <w:r w:rsidRPr="005725E4">
              <w:rPr>
                <w:b/>
                <w:bCs/>
                <w:lang w:eastAsia="cs-CZ"/>
              </w:rPr>
              <w:t>Uchazeč popíše způsob naplnění tohoto povinného parametru včetně značkové specifikace nabízených dodávek</w:t>
            </w:r>
          </w:p>
        </w:tc>
        <w:tc>
          <w:tcPr>
            <w:tcW w:w="2495" w:type="dxa"/>
            <w:shd w:val="clear" w:color="auto" w:fill="B4C6E7" w:themeFill="accent1" w:themeFillTint="66"/>
            <w:vAlign w:val="center"/>
            <w:hideMark/>
          </w:tcPr>
          <w:p w14:paraId="3023B9EA" w14:textId="77777777" w:rsidR="00400C32" w:rsidRPr="005725E4" w:rsidRDefault="00400C32" w:rsidP="002B046C">
            <w:pPr>
              <w:pStyle w:val="Bezmezer"/>
              <w:jc w:val="center"/>
              <w:rPr>
                <w:b/>
                <w:bCs/>
                <w:lang w:eastAsia="cs-CZ"/>
              </w:rPr>
            </w:pPr>
            <w:r w:rsidRPr="005725E4">
              <w:rPr>
                <w:b/>
                <w:bCs/>
                <w:lang w:eastAsia="cs-CZ"/>
              </w:rPr>
              <w:t>Uchazeč uvede odkaz na přiloženou část nabídky, kde je možné ověřit naplnění parametru</w:t>
            </w:r>
          </w:p>
        </w:tc>
      </w:tr>
      <w:tr w:rsidR="00B8477D" w:rsidRPr="00B444D8" w14:paraId="510291C1"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val="restart"/>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hideMark/>
          </w:tcPr>
          <w:p w14:paraId="52A540A7" w14:textId="77777777" w:rsidR="00B8477D" w:rsidRPr="00B444D8" w:rsidRDefault="00B8477D" w:rsidP="00E047E6">
            <w:pPr>
              <w:spacing w:after="0"/>
              <w:jc w:val="center"/>
              <w:rPr>
                <w:rFonts w:ascii="Calibri" w:eastAsia="Times New Roman" w:hAnsi="Calibri" w:cs="Calibri"/>
                <w:b/>
                <w:bCs/>
                <w:color w:val="000000"/>
                <w:sz w:val="16"/>
                <w:szCs w:val="16"/>
                <w:lang w:eastAsia="cs-CZ"/>
              </w:rPr>
            </w:pPr>
            <w:r>
              <w:rPr>
                <w:rFonts w:ascii="Calibri" w:eastAsia="Times New Roman" w:hAnsi="Calibri" w:cs="Calibri"/>
                <w:b/>
                <w:bCs/>
                <w:color w:val="000000"/>
                <w:sz w:val="16"/>
                <w:szCs w:val="16"/>
                <w:lang w:eastAsia="cs-CZ"/>
              </w:rPr>
              <w:t>Server</w:t>
            </w:r>
          </w:p>
        </w:tc>
        <w:tc>
          <w:tcPr>
            <w:tcW w:w="1710" w:type="dxa"/>
            <w:tcBorders>
              <w:top w:val="single" w:sz="4" w:space="0" w:color="auto"/>
              <w:left w:val="nil"/>
              <w:bottom w:val="single" w:sz="4" w:space="0" w:color="auto"/>
              <w:right w:val="single" w:sz="4" w:space="0" w:color="auto"/>
            </w:tcBorders>
            <w:shd w:val="clear" w:color="auto" w:fill="auto"/>
            <w:vAlign w:val="center"/>
          </w:tcPr>
          <w:p w14:paraId="28AE38DC" w14:textId="77777777" w:rsidR="00B8477D" w:rsidRPr="00B444D8"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Identifikace nabízeného řešení</w:t>
            </w:r>
          </w:p>
        </w:tc>
        <w:tc>
          <w:tcPr>
            <w:tcW w:w="5809" w:type="dxa"/>
            <w:tcBorders>
              <w:top w:val="single" w:sz="4" w:space="0" w:color="auto"/>
              <w:left w:val="nil"/>
              <w:bottom w:val="single" w:sz="4" w:space="0" w:color="auto"/>
              <w:right w:val="single" w:sz="4" w:space="0" w:color="auto"/>
            </w:tcBorders>
            <w:shd w:val="clear" w:color="auto" w:fill="auto"/>
            <w:vAlign w:val="center"/>
          </w:tcPr>
          <w:p w14:paraId="3EC822DE" w14:textId="77777777" w:rsidR="00B8477D" w:rsidRPr="00B444D8"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Jednoznačná identifikace serveru (název, typ, označení výrobce apod.)</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1EEE7B69"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c>
          <w:tcPr>
            <w:tcW w:w="2567" w:type="dxa"/>
            <w:gridSpan w:val="2"/>
            <w:tcBorders>
              <w:top w:val="single" w:sz="4" w:space="0" w:color="auto"/>
              <w:left w:val="nil"/>
              <w:bottom w:val="single" w:sz="4" w:space="0" w:color="auto"/>
              <w:right w:val="single" w:sz="8" w:space="0" w:color="auto"/>
            </w:tcBorders>
            <w:shd w:val="clear" w:color="auto" w:fill="auto"/>
            <w:noWrap/>
            <w:vAlign w:val="center"/>
            <w:hideMark/>
          </w:tcPr>
          <w:p w14:paraId="3E01400A"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r>
      <w:tr w:rsidR="00B8477D" w:rsidRPr="00B444D8" w14:paraId="7E06D7C9"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hideMark/>
          </w:tcPr>
          <w:p w14:paraId="6A9E75F2"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5C1FC723" w14:textId="77777777" w:rsidR="00B8477D" w:rsidRPr="00B444D8" w:rsidRDefault="00B8477D" w:rsidP="00E047E6">
            <w:pPr>
              <w:spacing w:after="0"/>
              <w:rPr>
                <w:rFonts w:ascii="Calibri" w:eastAsia="Times New Roman" w:hAnsi="Calibri" w:cs="Calibri"/>
                <w:color w:val="000000"/>
                <w:sz w:val="16"/>
                <w:szCs w:val="16"/>
                <w:lang w:eastAsia="cs-CZ"/>
              </w:rPr>
            </w:pPr>
            <w:r w:rsidRPr="00F30631">
              <w:rPr>
                <w:rFonts w:ascii="Calibri" w:eastAsia="Times New Roman" w:hAnsi="Calibri" w:cs="Calibri"/>
                <w:color w:val="000000"/>
                <w:sz w:val="16"/>
                <w:szCs w:val="16"/>
                <w:lang w:eastAsia="cs-CZ"/>
              </w:rPr>
              <w:t>Provedení</w:t>
            </w:r>
          </w:p>
        </w:tc>
        <w:tc>
          <w:tcPr>
            <w:tcW w:w="5809" w:type="dxa"/>
            <w:tcBorders>
              <w:top w:val="nil"/>
              <w:left w:val="nil"/>
              <w:bottom w:val="single" w:sz="4" w:space="0" w:color="auto"/>
              <w:right w:val="single" w:sz="4" w:space="0" w:color="auto"/>
            </w:tcBorders>
            <w:shd w:val="clear" w:color="auto" w:fill="auto"/>
            <w:vAlign w:val="center"/>
          </w:tcPr>
          <w:p w14:paraId="4A277E14" w14:textId="77777777" w:rsidR="00B8477D" w:rsidRPr="00DF0132"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Umístitelné do racku, včetně montážního materiálu, max. 2U.</w:t>
            </w:r>
          </w:p>
          <w:p w14:paraId="681CA279" w14:textId="77777777" w:rsidR="00B8477D" w:rsidRPr="00DF0132"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Barevně označené hot-</w:t>
            </w:r>
            <w:proofErr w:type="spellStart"/>
            <w:r w:rsidRPr="00DF0132">
              <w:rPr>
                <w:rFonts w:ascii="Calibri" w:eastAsia="Times New Roman" w:hAnsi="Calibri" w:cs="Calibri"/>
                <w:color w:val="000000"/>
                <w:sz w:val="16"/>
                <w:szCs w:val="16"/>
                <w:lang w:eastAsia="cs-CZ"/>
              </w:rPr>
              <w:t>plug</w:t>
            </w:r>
            <w:proofErr w:type="spellEnd"/>
            <w:r w:rsidRPr="00DF0132">
              <w:rPr>
                <w:rFonts w:ascii="Calibri" w:eastAsia="Times New Roman" w:hAnsi="Calibri" w:cs="Calibri"/>
                <w:color w:val="000000"/>
                <w:sz w:val="16"/>
                <w:szCs w:val="16"/>
                <w:lang w:eastAsia="cs-CZ"/>
              </w:rPr>
              <w:t xml:space="preserve"> komponenty.</w:t>
            </w:r>
          </w:p>
          <w:p w14:paraId="2D91FAAA" w14:textId="77777777" w:rsidR="00B8477D" w:rsidRPr="00DF0132"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Pro přístup ke všem komponentám není nutné nářadí.</w:t>
            </w:r>
          </w:p>
          <w:p w14:paraId="544A0527" w14:textId="77777777" w:rsidR="00B8477D" w:rsidRPr="00B444D8"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Zásuvné ližiny s managementem kabeláže.</w:t>
            </w:r>
          </w:p>
        </w:tc>
        <w:tc>
          <w:tcPr>
            <w:tcW w:w="2835" w:type="dxa"/>
            <w:tcBorders>
              <w:top w:val="nil"/>
              <w:left w:val="nil"/>
              <w:bottom w:val="single" w:sz="4" w:space="0" w:color="auto"/>
              <w:right w:val="single" w:sz="4" w:space="0" w:color="auto"/>
            </w:tcBorders>
            <w:shd w:val="clear" w:color="auto" w:fill="auto"/>
            <w:noWrap/>
            <w:vAlign w:val="center"/>
            <w:hideMark/>
          </w:tcPr>
          <w:p w14:paraId="36B48841"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c>
          <w:tcPr>
            <w:tcW w:w="2567" w:type="dxa"/>
            <w:gridSpan w:val="2"/>
            <w:tcBorders>
              <w:top w:val="nil"/>
              <w:left w:val="nil"/>
              <w:bottom w:val="single" w:sz="4" w:space="0" w:color="auto"/>
              <w:right w:val="single" w:sz="8" w:space="0" w:color="auto"/>
            </w:tcBorders>
            <w:shd w:val="clear" w:color="auto" w:fill="auto"/>
            <w:noWrap/>
            <w:vAlign w:val="center"/>
            <w:hideMark/>
          </w:tcPr>
          <w:p w14:paraId="46DBEC58"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r>
      <w:tr w:rsidR="00B8477D" w:rsidRPr="00B444D8" w14:paraId="33CE55A3"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hideMark/>
          </w:tcPr>
          <w:p w14:paraId="679148D5"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4BA3F54F" w14:textId="77777777" w:rsidR="00B8477D" w:rsidRPr="00B444D8" w:rsidRDefault="00B8477D" w:rsidP="00E047E6">
            <w:pPr>
              <w:spacing w:after="0"/>
              <w:rPr>
                <w:rFonts w:ascii="Calibri" w:eastAsia="Times New Roman" w:hAnsi="Calibri" w:cs="Calibri"/>
                <w:color w:val="000000"/>
                <w:sz w:val="16"/>
                <w:szCs w:val="16"/>
                <w:lang w:eastAsia="cs-CZ"/>
              </w:rPr>
            </w:pPr>
            <w:r w:rsidRPr="00F30631">
              <w:rPr>
                <w:rFonts w:ascii="Calibri" w:eastAsia="Times New Roman" w:hAnsi="Calibri" w:cs="Calibri"/>
                <w:color w:val="000000"/>
                <w:sz w:val="16"/>
                <w:szCs w:val="16"/>
                <w:lang w:eastAsia="cs-CZ"/>
              </w:rPr>
              <w:t>CPU</w:t>
            </w:r>
          </w:p>
        </w:tc>
        <w:tc>
          <w:tcPr>
            <w:tcW w:w="5809" w:type="dxa"/>
            <w:tcBorders>
              <w:top w:val="nil"/>
              <w:left w:val="nil"/>
              <w:bottom w:val="single" w:sz="4" w:space="0" w:color="auto"/>
              <w:right w:val="single" w:sz="4" w:space="0" w:color="auto"/>
            </w:tcBorders>
            <w:shd w:val="clear" w:color="auto" w:fill="auto"/>
            <w:vAlign w:val="center"/>
          </w:tcPr>
          <w:p w14:paraId="6C06C10C" w14:textId="77777777" w:rsidR="00B8477D" w:rsidRPr="00276D38" w:rsidRDefault="00B8477D" w:rsidP="00E047E6">
            <w:pPr>
              <w:spacing w:after="0"/>
              <w:rPr>
                <w:rFonts w:ascii="Calibri" w:eastAsia="Times New Roman" w:hAnsi="Calibri" w:cs="Calibri"/>
                <w:color w:val="000000"/>
                <w:sz w:val="16"/>
                <w:szCs w:val="16"/>
                <w:lang w:eastAsia="cs-CZ"/>
              </w:rPr>
            </w:pPr>
            <w:r w:rsidRPr="00276D38">
              <w:rPr>
                <w:rFonts w:ascii="Calibri" w:eastAsia="Times New Roman" w:hAnsi="Calibri" w:cs="Calibri"/>
                <w:color w:val="000000"/>
                <w:sz w:val="16"/>
                <w:szCs w:val="16"/>
                <w:lang w:eastAsia="cs-CZ"/>
              </w:rPr>
              <w:t>Max. 2x CPU, z licenčních důvodů maximálně celkový počet 16 jader.</w:t>
            </w:r>
          </w:p>
          <w:p w14:paraId="5A28D208" w14:textId="77777777" w:rsidR="00B8477D" w:rsidRPr="00B444D8" w:rsidRDefault="00B8477D" w:rsidP="00E047E6">
            <w:pPr>
              <w:spacing w:after="0"/>
              <w:rPr>
                <w:rFonts w:ascii="Calibri" w:eastAsia="Times New Roman" w:hAnsi="Calibri" w:cs="Calibri"/>
                <w:color w:val="000000"/>
                <w:sz w:val="16"/>
                <w:szCs w:val="16"/>
                <w:lang w:eastAsia="cs-CZ"/>
              </w:rPr>
            </w:pPr>
            <w:r w:rsidRPr="00276D38">
              <w:rPr>
                <w:rFonts w:ascii="Calibri" w:eastAsia="Times New Roman" w:hAnsi="Calibri" w:cs="Calibri"/>
                <w:color w:val="000000"/>
                <w:sz w:val="16"/>
                <w:szCs w:val="16"/>
                <w:lang w:eastAsia="cs-CZ"/>
              </w:rPr>
              <w:t>Výkon serveru dle https://spec.org:</w:t>
            </w:r>
            <w:r w:rsidRPr="00276D38">
              <w:rPr>
                <w:rFonts w:ascii="Calibri" w:eastAsia="Times New Roman" w:hAnsi="Calibri" w:cs="Calibri"/>
                <w:color w:val="000000"/>
                <w:sz w:val="16"/>
                <w:szCs w:val="16"/>
                <w:lang w:eastAsia="cs-CZ"/>
              </w:rPr>
              <w:br/>
              <w:t>SPECrate®2017_int_base min. 171 bodů</w:t>
            </w:r>
            <w:r w:rsidRPr="00276D38">
              <w:rPr>
                <w:rFonts w:ascii="Calibri" w:eastAsia="Times New Roman" w:hAnsi="Calibri" w:cs="Calibri"/>
                <w:color w:val="000000"/>
                <w:sz w:val="16"/>
                <w:szCs w:val="16"/>
                <w:lang w:eastAsia="cs-CZ"/>
              </w:rPr>
              <w:br/>
              <w:t>SPECrate®2017_fp_base min. 256 bodů</w:t>
            </w:r>
          </w:p>
        </w:tc>
        <w:tc>
          <w:tcPr>
            <w:tcW w:w="2835" w:type="dxa"/>
            <w:tcBorders>
              <w:top w:val="nil"/>
              <w:left w:val="nil"/>
              <w:bottom w:val="single" w:sz="4" w:space="0" w:color="auto"/>
              <w:right w:val="single" w:sz="4" w:space="0" w:color="auto"/>
            </w:tcBorders>
            <w:shd w:val="clear" w:color="auto" w:fill="auto"/>
            <w:noWrap/>
            <w:vAlign w:val="center"/>
            <w:hideMark/>
          </w:tcPr>
          <w:p w14:paraId="6B0E73AA"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c>
          <w:tcPr>
            <w:tcW w:w="2567" w:type="dxa"/>
            <w:gridSpan w:val="2"/>
            <w:tcBorders>
              <w:top w:val="nil"/>
              <w:left w:val="nil"/>
              <w:bottom w:val="single" w:sz="4" w:space="0" w:color="auto"/>
              <w:right w:val="single" w:sz="8" w:space="0" w:color="auto"/>
            </w:tcBorders>
            <w:shd w:val="clear" w:color="auto" w:fill="auto"/>
            <w:noWrap/>
            <w:vAlign w:val="center"/>
            <w:hideMark/>
          </w:tcPr>
          <w:p w14:paraId="24783D24"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r>
      <w:tr w:rsidR="00B8477D" w:rsidRPr="00B444D8" w14:paraId="07B0608D"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hideMark/>
          </w:tcPr>
          <w:p w14:paraId="0DB8139A"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69D4B610" w14:textId="77777777" w:rsidR="00B8477D" w:rsidRPr="00B444D8"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RAM</w:t>
            </w:r>
          </w:p>
        </w:tc>
        <w:tc>
          <w:tcPr>
            <w:tcW w:w="5809" w:type="dxa"/>
            <w:tcBorders>
              <w:top w:val="nil"/>
              <w:left w:val="nil"/>
              <w:bottom w:val="single" w:sz="4" w:space="0" w:color="auto"/>
              <w:right w:val="single" w:sz="4" w:space="0" w:color="auto"/>
            </w:tcBorders>
            <w:shd w:val="clear" w:color="auto" w:fill="auto"/>
            <w:vAlign w:val="center"/>
          </w:tcPr>
          <w:p w14:paraId="205969B8" w14:textId="77777777" w:rsidR="00B8477D" w:rsidRPr="00DF0132"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Min. 16 slotů pro DDR5 RDIMM.</w:t>
            </w:r>
          </w:p>
          <w:p w14:paraId="21396C85" w14:textId="77777777" w:rsidR="00B8477D" w:rsidRPr="00DF0132"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 xml:space="preserve">Min. </w:t>
            </w:r>
            <w:r>
              <w:rPr>
                <w:rFonts w:ascii="Calibri" w:eastAsia="Times New Roman" w:hAnsi="Calibri" w:cs="Calibri"/>
                <w:color w:val="000000"/>
                <w:sz w:val="16"/>
                <w:szCs w:val="16"/>
                <w:lang w:eastAsia="cs-CZ"/>
              </w:rPr>
              <w:t>1024</w:t>
            </w:r>
            <w:r w:rsidRPr="00DF0132">
              <w:rPr>
                <w:rFonts w:ascii="Calibri" w:eastAsia="Times New Roman" w:hAnsi="Calibri" w:cs="Calibri"/>
                <w:color w:val="000000"/>
                <w:sz w:val="16"/>
                <w:szCs w:val="16"/>
                <w:lang w:eastAsia="cs-CZ"/>
              </w:rPr>
              <w:t xml:space="preserve"> GB RAM ECC, min. 4800 MT/s.</w:t>
            </w:r>
          </w:p>
          <w:p w14:paraId="3304F865" w14:textId="77777777" w:rsidR="00B8477D" w:rsidRPr="00B444D8"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Počet paměťových modulů a rozmístění musí být zvoleno pro optimální výkon s CPU.</w:t>
            </w:r>
          </w:p>
        </w:tc>
        <w:tc>
          <w:tcPr>
            <w:tcW w:w="2835" w:type="dxa"/>
            <w:tcBorders>
              <w:top w:val="nil"/>
              <w:left w:val="nil"/>
              <w:bottom w:val="single" w:sz="4" w:space="0" w:color="auto"/>
              <w:right w:val="single" w:sz="4" w:space="0" w:color="auto"/>
            </w:tcBorders>
            <w:shd w:val="clear" w:color="auto" w:fill="auto"/>
            <w:noWrap/>
            <w:vAlign w:val="center"/>
            <w:hideMark/>
          </w:tcPr>
          <w:p w14:paraId="60B9F881"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c>
          <w:tcPr>
            <w:tcW w:w="2567" w:type="dxa"/>
            <w:gridSpan w:val="2"/>
            <w:tcBorders>
              <w:top w:val="nil"/>
              <w:left w:val="nil"/>
              <w:bottom w:val="single" w:sz="4" w:space="0" w:color="auto"/>
              <w:right w:val="single" w:sz="8" w:space="0" w:color="auto"/>
            </w:tcBorders>
            <w:shd w:val="clear" w:color="auto" w:fill="auto"/>
            <w:noWrap/>
            <w:vAlign w:val="center"/>
            <w:hideMark/>
          </w:tcPr>
          <w:p w14:paraId="597F6772"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r>
      <w:tr w:rsidR="00B8477D" w:rsidRPr="00B444D8" w14:paraId="737B1659"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tcPr>
          <w:p w14:paraId="1474B66D"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5C8725B9" w14:textId="77777777" w:rsidR="00B8477D" w:rsidRPr="004967C2" w:rsidRDefault="00B8477D" w:rsidP="00E047E6">
            <w:pPr>
              <w:spacing w:after="0"/>
              <w:rPr>
                <w:rFonts w:ascii="Calibri" w:eastAsia="Times New Roman" w:hAnsi="Calibri" w:cs="Calibri"/>
                <w:color w:val="000000"/>
                <w:sz w:val="16"/>
                <w:szCs w:val="16"/>
                <w:lang w:eastAsia="cs-CZ"/>
              </w:rPr>
            </w:pPr>
            <w:r w:rsidRPr="004967C2">
              <w:rPr>
                <w:rFonts w:ascii="Calibri" w:eastAsia="Times New Roman" w:hAnsi="Calibri" w:cs="Calibri"/>
                <w:color w:val="000000"/>
                <w:sz w:val="16"/>
                <w:szCs w:val="16"/>
                <w:lang w:eastAsia="cs-CZ"/>
              </w:rPr>
              <w:t>Diskový subsystém</w:t>
            </w:r>
          </w:p>
        </w:tc>
        <w:tc>
          <w:tcPr>
            <w:tcW w:w="5809" w:type="dxa"/>
            <w:tcBorders>
              <w:top w:val="nil"/>
              <w:left w:val="nil"/>
              <w:bottom w:val="single" w:sz="4" w:space="0" w:color="auto"/>
              <w:right w:val="single" w:sz="4" w:space="0" w:color="auto"/>
            </w:tcBorders>
            <w:shd w:val="clear" w:color="auto" w:fill="auto"/>
            <w:vAlign w:val="center"/>
          </w:tcPr>
          <w:p w14:paraId="47BF17E7" w14:textId="77777777" w:rsidR="00B8477D" w:rsidRPr="00DF0132"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 xml:space="preserve">Šasi serveru musí pojmout </w:t>
            </w:r>
            <w:r>
              <w:rPr>
                <w:rFonts w:ascii="Calibri" w:eastAsia="Times New Roman" w:hAnsi="Calibri" w:cs="Calibri"/>
                <w:color w:val="000000"/>
                <w:sz w:val="16"/>
                <w:szCs w:val="16"/>
                <w:lang w:eastAsia="cs-CZ"/>
              </w:rPr>
              <w:t>min. 24</w:t>
            </w:r>
            <w:r w:rsidRPr="00DF0132">
              <w:rPr>
                <w:rFonts w:ascii="Calibri" w:eastAsia="Times New Roman" w:hAnsi="Calibri" w:cs="Calibri"/>
                <w:color w:val="000000"/>
                <w:sz w:val="16"/>
                <w:szCs w:val="16"/>
                <w:lang w:eastAsia="cs-CZ"/>
              </w:rPr>
              <w:t xml:space="preserve"> disků formátu 3.5", přístupných v hot-swap rámečcích </w:t>
            </w:r>
            <w:r>
              <w:rPr>
                <w:rFonts w:ascii="Calibri" w:eastAsia="Times New Roman" w:hAnsi="Calibri" w:cs="Calibri"/>
                <w:color w:val="000000"/>
                <w:sz w:val="16"/>
                <w:szCs w:val="16"/>
                <w:lang w:eastAsia="cs-CZ"/>
              </w:rPr>
              <w:t xml:space="preserve">a min. další 4 </w:t>
            </w:r>
            <w:proofErr w:type="spellStart"/>
            <w:r>
              <w:rPr>
                <w:rFonts w:ascii="Calibri" w:eastAsia="Times New Roman" w:hAnsi="Calibri" w:cs="Calibri"/>
                <w:color w:val="000000"/>
                <w:sz w:val="16"/>
                <w:szCs w:val="16"/>
                <w:lang w:eastAsia="cs-CZ"/>
              </w:rPr>
              <w:t>NVMe</w:t>
            </w:r>
            <w:proofErr w:type="spellEnd"/>
            <w:r>
              <w:rPr>
                <w:rFonts w:ascii="Calibri" w:eastAsia="Times New Roman" w:hAnsi="Calibri" w:cs="Calibri"/>
                <w:color w:val="000000"/>
                <w:sz w:val="16"/>
                <w:szCs w:val="16"/>
                <w:lang w:eastAsia="cs-CZ"/>
              </w:rPr>
              <w:t xml:space="preserve"> disky rovněž v hot-swap rámečcích.</w:t>
            </w:r>
          </w:p>
          <w:p w14:paraId="0904CFC3" w14:textId="77777777" w:rsidR="00B8477D" w:rsidRPr="00DF0132" w:rsidRDefault="00B8477D" w:rsidP="00E047E6">
            <w:pPr>
              <w:spacing w:after="0"/>
              <w:rPr>
                <w:rFonts w:ascii="Calibri" w:eastAsia="Times New Roman" w:hAnsi="Calibri" w:cs="Calibri"/>
                <w:color w:val="000000"/>
                <w:sz w:val="16"/>
                <w:szCs w:val="16"/>
                <w:lang w:eastAsia="cs-CZ"/>
              </w:rPr>
            </w:pPr>
            <w:r w:rsidRPr="001B44F3">
              <w:rPr>
                <w:rFonts w:ascii="Calibri" w:eastAsia="Times New Roman" w:hAnsi="Calibri" w:cs="Calibri"/>
                <w:color w:val="000000"/>
                <w:sz w:val="16"/>
                <w:szCs w:val="16"/>
                <w:lang w:eastAsia="cs-CZ"/>
              </w:rPr>
              <w:t xml:space="preserve">Řadič min. </w:t>
            </w:r>
            <w:proofErr w:type="gramStart"/>
            <w:r w:rsidRPr="001B44F3">
              <w:rPr>
                <w:rFonts w:ascii="Calibri" w:eastAsia="Times New Roman" w:hAnsi="Calibri" w:cs="Calibri"/>
                <w:color w:val="000000"/>
                <w:sz w:val="16"/>
                <w:szCs w:val="16"/>
                <w:lang w:eastAsia="cs-CZ"/>
              </w:rPr>
              <w:t>4GB</w:t>
            </w:r>
            <w:proofErr w:type="gramEnd"/>
            <w:r w:rsidRPr="001B44F3">
              <w:rPr>
                <w:rFonts w:ascii="Calibri" w:eastAsia="Times New Roman" w:hAnsi="Calibri" w:cs="Calibri"/>
                <w:color w:val="000000"/>
                <w:sz w:val="16"/>
                <w:szCs w:val="16"/>
                <w:lang w:eastAsia="cs-CZ"/>
              </w:rPr>
              <w:t xml:space="preserve"> </w:t>
            </w:r>
            <w:proofErr w:type="spellStart"/>
            <w:r w:rsidRPr="001B44F3">
              <w:rPr>
                <w:rFonts w:ascii="Calibri" w:eastAsia="Times New Roman" w:hAnsi="Calibri" w:cs="Calibri"/>
                <w:color w:val="000000"/>
                <w:sz w:val="16"/>
                <w:szCs w:val="16"/>
                <w:lang w:eastAsia="cs-CZ"/>
              </w:rPr>
              <w:t>Cache</w:t>
            </w:r>
            <w:proofErr w:type="spellEnd"/>
            <w:r w:rsidRPr="001B44F3">
              <w:rPr>
                <w:rFonts w:ascii="Calibri" w:eastAsia="Times New Roman" w:hAnsi="Calibri" w:cs="Calibri"/>
                <w:color w:val="000000"/>
                <w:sz w:val="16"/>
                <w:szCs w:val="16"/>
                <w:lang w:eastAsia="cs-CZ"/>
              </w:rPr>
              <w:t xml:space="preserve">, SATA / SAS / </w:t>
            </w:r>
            <w:proofErr w:type="spellStart"/>
            <w:r w:rsidRPr="001B44F3">
              <w:rPr>
                <w:rFonts w:ascii="Calibri" w:eastAsia="Times New Roman" w:hAnsi="Calibri" w:cs="Calibri"/>
                <w:color w:val="000000"/>
                <w:sz w:val="16"/>
                <w:szCs w:val="16"/>
                <w:lang w:eastAsia="cs-CZ"/>
              </w:rPr>
              <w:t>NVMe</w:t>
            </w:r>
            <w:proofErr w:type="spellEnd"/>
            <w:r w:rsidRPr="001B44F3">
              <w:rPr>
                <w:rFonts w:ascii="Calibri" w:eastAsia="Times New Roman" w:hAnsi="Calibri" w:cs="Calibri"/>
                <w:color w:val="000000"/>
                <w:sz w:val="16"/>
                <w:szCs w:val="16"/>
                <w:lang w:eastAsia="cs-CZ"/>
              </w:rPr>
              <w:t>, podpora RAID 0, 1, 5, 6, 10, 50, 60</w:t>
            </w:r>
            <w:r w:rsidRPr="00DF0132">
              <w:rPr>
                <w:rFonts w:ascii="Calibri" w:eastAsia="Times New Roman" w:hAnsi="Calibri" w:cs="Calibri"/>
                <w:color w:val="000000"/>
                <w:sz w:val="16"/>
                <w:szCs w:val="16"/>
                <w:lang w:eastAsia="cs-CZ"/>
              </w:rPr>
              <w:t>.</w:t>
            </w:r>
          </w:p>
          <w:p w14:paraId="18A33353" w14:textId="77777777" w:rsidR="00B8477D" w:rsidRPr="00DF0132"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Rozhraní disků: SAS/SATA</w:t>
            </w:r>
            <w:r>
              <w:rPr>
                <w:rFonts w:ascii="Calibri" w:eastAsia="Times New Roman" w:hAnsi="Calibri" w:cs="Calibri"/>
                <w:color w:val="000000"/>
                <w:sz w:val="16"/>
                <w:szCs w:val="16"/>
                <w:lang w:eastAsia="cs-CZ"/>
              </w:rPr>
              <w:t>/</w:t>
            </w:r>
            <w:proofErr w:type="spellStart"/>
            <w:r>
              <w:rPr>
                <w:rFonts w:ascii="Calibri" w:eastAsia="Times New Roman" w:hAnsi="Calibri" w:cs="Calibri"/>
                <w:color w:val="000000"/>
                <w:sz w:val="16"/>
                <w:szCs w:val="16"/>
                <w:lang w:eastAsia="cs-CZ"/>
              </w:rPr>
              <w:t>NVMe</w:t>
            </w:r>
            <w:proofErr w:type="spellEnd"/>
          </w:p>
          <w:p w14:paraId="47F4B591" w14:textId="77777777" w:rsidR="00B8477D" w:rsidRPr="00B444D8"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 xml:space="preserve">Osazení: </w:t>
            </w:r>
            <w:r>
              <w:rPr>
                <w:rFonts w:ascii="Calibri" w:eastAsia="Times New Roman" w:hAnsi="Calibri" w:cs="Calibri"/>
                <w:color w:val="000000"/>
                <w:sz w:val="16"/>
                <w:szCs w:val="16"/>
                <w:lang w:eastAsia="cs-CZ"/>
              </w:rPr>
              <w:t>16</w:t>
            </w:r>
            <w:r w:rsidRPr="00DF0132">
              <w:rPr>
                <w:rFonts w:ascii="Calibri" w:eastAsia="Times New Roman" w:hAnsi="Calibri" w:cs="Calibri"/>
                <w:color w:val="000000"/>
                <w:sz w:val="16"/>
                <w:szCs w:val="16"/>
                <w:lang w:eastAsia="cs-CZ"/>
              </w:rPr>
              <w:t xml:space="preserve">x </w:t>
            </w:r>
            <w:r>
              <w:rPr>
                <w:rFonts w:ascii="Calibri" w:eastAsia="Times New Roman" w:hAnsi="Calibri" w:cs="Calibri"/>
                <w:color w:val="000000"/>
                <w:sz w:val="16"/>
                <w:szCs w:val="16"/>
                <w:lang w:eastAsia="cs-CZ"/>
              </w:rPr>
              <w:t>2,4</w:t>
            </w:r>
            <w:r w:rsidRPr="00DF0132">
              <w:rPr>
                <w:rFonts w:ascii="Calibri" w:eastAsia="Times New Roman" w:hAnsi="Calibri" w:cs="Calibri"/>
                <w:color w:val="000000"/>
                <w:sz w:val="16"/>
                <w:szCs w:val="16"/>
                <w:lang w:eastAsia="cs-CZ"/>
              </w:rPr>
              <w:t xml:space="preserve"> TB </w:t>
            </w:r>
            <w:r>
              <w:rPr>
                <w:rFonts w:ascii="Calibri" w:eastAsia="Times New Roman" w:hAnsi="Calibri" w:cs="Calibri"/>
                <w:color w:val="000000"/>
                <w:sz w:val="16"/>
                <w:szCs w:val="16"/>
                <w:lang w:eastAsia="cs-CZ"/>
              </w:rPr>
              <w:t xml:space="preserve">SAS </w:t>
            </w:r>
            <w:proofErr w:type="gramStart"/>
            <w:r>
              <w:rPr>
                <w:rFonts w:ascii="Calibri" w:eastAsia="Times New Roman" w:hAnsi="Calibri" w:cs="Calibri"/>
                <w:color w:val="000000"/>
                <w:sz w:val="16"/>
                <w:szCs w:val="16"/>
                <w:lang w:eastAsia="cs-CZ"/>
              </w:rPr>
              <w:t>10K</w:t>
            </w:r>
            <w:proofErr w:type="gramEnd"/>
            <w:r>
              <w:rPr>
                <w:rFonts w:ascii="Calibri" w:eastAsia="Times New Roman" w:hAnsi="Calibri" w:cs="Calibri"/>
                <w:color w:val="000000"/>
                <w:sz w:val="16"/>
                <w:szCs w:val="16"/>
                <w:lang w:eastAsia="cs-CZ"/>
              </w:rPr>
              <w:t xml:space="preserve">, </w:t>
            </w:r>
            <w:r w:rsidRPr="00DF0132">
              <w:rPr>
                <w:rFonts w:ascii="Calibri" w:eastAsia="Times New Roman" w:hAnsi="Calibri" w:cs="Calibri"/>
                <w:color w:val="000000"/>
                <w:sz w:val="16"/>
                <w:szCs w:val="16"/>
                <w:lang w:eastAsia="cs-CZ"/>
              </w:rPr>
              <w:t xml:space="preserve">4x </w:t>
            </w:r>
            <w:r>
              <w:rPr>
                <w:rFonts w:ascii="Calibri" w:eastAsia="Times New Roman" w:hAnsi="Calibri" w:cs="Calibri"/>
                <w:color w:val="000000"/>
                <w:sz w:val="16"/>
                <w:szCs w:val="16"/>
                <w:lang w:eastAsia="cs-CZ"/>
              </w:rPr>
              <w:t>6.4</w:t>
            </w:r>
            <w:r w:rsidRPr="00DF0132">
              <w:rPr>
                <w:rFonts w:ascii="Calibri" w:eastAsia="Times New Roman" w:hAnsi="Calibri" w:cs="Calibri"/>
                <w:color w:val="000000"/>
                <w:sz w:val="16"/>
                <w:szCs w:val="16"/>
                <w:lang w:eastAsia="cs-CZ"/>
              </w:rPr>
              <w:t xml:space="preserve">TB </w:t>
            </w:r>
            <w:r>
              <w:rPr>
                <w:rFonts w:ascii="Calibri" w:eastAsia="Times New Roman" w:hAnsi="Calibri" w:cs="Calibri"/>
                <w:color w:val="000000"/>
                <w:sz w:val="16"/>
                <w:szCs w:val="16"/>
                <w:lang w:eastAsia="cs-CZ"/>
              </w:rPr>
              <w:t xml:space="preserve">NVME </w:t>
            </w:r>
            <w:proofErr w:type="spellStart"/>
            <w:r>
              <w:rPr>
                <w:rFonts w:ascii="Calibri" w:eastAsia="Times New Roman" w:hAnsi="Calibri" w:cs="Calibri"/>
                <w:color w:val="000000"/>
                <w:sz w:val="16"/>
                <w:szCs w:val="16"/>
                <w:lang w:eastAsia="cs-CZ"/>
              </w:rPr>
              <w:t>Read</w:t>
            </w:r>
            <w:proofErr w:type="spellEnd"/>
            <w:r>
              <w:rPr>
                <w:rFonts w:ascii="Calibri" w:eastAsia="Times New Roman" w:hAnsi="Calibri" w:cs="Calibri"/>
                <w:color w:val="000000"/>
                <w:sz w:val="16"/>
                <w:szCs w:val="16"/>
                <w:lang w:eastAsia="cs-CZ"/>
              </w:rPr>
              <w:t xml:space="preserve"> </w:t>
            </w:r>
            <w:proofErr w:type="spellStart"/>
            <w:r>
              <w:rPr>
                <w:rFonts w:ascii="Calibri" w:eastAsia="Times New Roman" w:hAnsi="Calibri" w:cs="Calibri"/>
                <w:color w:val="000000"/>
                <w:sz w:val="16"/>
                <w:szCs w:val="16"/>
                <w:lang w:eastAsia="cs-CZ"/>
              </w:rPr>
              <w:t>Intensive</w:t>
            </w:r>
            <w:proofErr w:type="spellEnd"/>
          </w:p>
        </w:tc>
        <w:tc>
          <w:tcPr>
            <w:tcW w:w="2835" w:type="dxa"/>
            <w:tcBorders>
              <w:top w:val="nil"/>
              <w:left w:val="nil"/>
              <w:bottom w:val="single" w:sz="4" w:space="0" w:color="auto"/>
              <w:right w:val="single" w:sz="4" w:space="0" w:color="auto"/>
            </w:tcBorders>
            <w:shd w:val="clear" w:color="auto" w:fill="auto"/>
            <w:noWrap/>
            <w:vAlign w:val="center"/>
          </w:tcPr>
          <w:p w14:paraId="11E66148"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4E2EC652"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157F872A"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tcPr>
          <w:p w14:paraId="54153703"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4CEC5078" w14:textId="77777777" w:rsidR="00B8477D" w:rsidRPr="004967C2" w:rsidRDefault="00B8477D" w:rsidP="00E047E6">
            <w:pPr>
              <w:spacing w:after="0"/>
              <w:rPr>
                <w:rFonts w:ascii="Calibri" w:eastAsia="Times New Roman" w:hAnsi="Calibri" w:cs="Calibri"/>
                <w:color w:val="000000"/>
                <w:sz w:val="16"/>
                <w:szCs w:val="16"/>
                <w:lang w:eastAsia="cs-CZ"/>
              </w:rPr>
            </w:pPr>
            <w:proofErr w:type="spellStart"/>
            <w:r w:rsidRPr="00C757F8">
              <w:rPr>
                <w:rFonts w:ascii="Calibri" w:eastAsia="Times New Roman" w:hAnsi="Calibri" w:cs="Calibri"/>
                <w:color w:val="000000"/>
                <w:sz w:val="16"/>
                <w:szCs w:val="16"/>
                <w:lang w:eastAsia="cs-CZ"/>
              </w:rPr>
              <w:t>Boot</w:t>
            </w:r>
            <w:proofErr w:type="spellEnd"/>
            <w:r w:rsidRPr="00C757F8">
              <w:rPr>
                <w:rFonts w:ascii="Calibri" w:eastAsia="Times New Roman" w:hAnsi="Calibri" w:cs="Calibri"/>
                <w:color w:val="000000"/>
                <w:sz w:val="16"/>
                <w:szCs w:val="16"/>
                <w:lang w:eastAsia="cs-CZ"/>
              </w:rPr>
              <w:t xml:space="preserve"> Drive</w:t>
            </w:r>
          </w:p>
        </w:tc>
        <w:tc>
          <w:tcPr>
            <w:tcW w:w="5809" w:type="dxa"/>
            <w:tcBorders>
              <w:top w:val="nil"/>
              <w:left w:val="nil"/>
              <w:bottom w:val="single" w:sz="4" w:space="0" w:color="auto"/>
              <w:right w:val="single" w:sz="4" w:space="0" w:color="auto"/>
            </w:tcBorders>
            <w:shd w:val="clear" w:color="auto" w:fill="auto"/>
            <w:vAlign w:val="center"/>
          </w:tcPr>
          <w:p w14:paraId="20D7F864" w14:textId="77777777" w:rsidR="00B8477D" w:rsidRPr="00DF0132"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 xml:space="preserve">Musí být zajištěna dvojicí SSD disků v RAID1 s kapacitou min. </w:t>
            </w:r>
            <w:r>
              <w:rPr>
                <w:rFonts w:ascii="Calibri" w:eastAsia="Times New Roman" w:hAnsi="Calibri" w:cs="Calibri"/>
                <w:color w:val="000000"/>
                <w:sz w:val="16"/>
                <w:szCs w:val="16"/>
                <w:lang w:eastAsia="cs-CZ"/>
              </w:rPr>
              <w:t>48</w:t>
            </w:r>
            <w:r w:rsidRPr="00DF0132">
              <w:rPr>
                <w:rFonts w:ascii="Calibri" w:eastAsia="Times New Roman" w:hAnsi="Calibri" w:cs="Calibri"/>
                <w:color w:val="000000"/>
                <w:sz w:val="16"/>
                <w:szCs w:val="16"/>
                <w:lang w:eastAsia="cs-CZ"/>
              </w:rPr>
              <w:t>0 GB.</w:t>
            </w:r>
          </w:p>
          <w:p w14:paraId="1860E448" w14:textId="77777777" w:rsidR="00B8477D" w:rsidRPr="00DF0132"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Disky musí být připojeny na samostatný RAID řadič mimo Diskový subsystém.</w:t>
            </w:r>
          </w:p>
          <w:p w14:paraId="58224A5D" w14:textId="77777777" w:rsidR="00B8477D" w:rsidRPr="00DF0132"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Disky nesmí zabírat pozici v </w:t>
            </w:r>
            <w:r>
              <w:rPr>
                <w:rFonts w:ascii="Calibri" w:eastAsia="Times New Roman" w:hAnsi="Calibri" w:cs="Calibri"/>
                <w:color w:val="000000"/>
                <w:sz w:val="16"/>
                <w:szCs w:val="16"/>
                <w:lang w:eastAsia="cs-CZ"/>
              </w:rPr>
              <w:t>28</w:t>
            </w:r>
            <w:r w:rsidRPr="00DF0132">
              <w:rPr>
                <w:rFonts w:ascii="Calibri" w:eastAsia="Times New Roman" w:hAnsi="Calibri" w:cs="Calibri"/>
                <w:color w:val="000000"/>
                <w:sz w:val="16"/>
                <w:szCs w:val="16"/>
                <w:lang w:eastAsia="cs-CZ"/>
              </w:rPr>
              <w:t xml:space="preserve"> diskovém šasi vyhrazeném pro Diskový subsystém.</w:t>
            </w:r>
          </w:p>
          <w:p w14:paraId="368BB212" w14:textId="77777777" w:rsidR="00B8477D" w:rsidRPr="00DD624D"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Disky musí být hot-swap, přístupné z přední nebo zadní strany serveru.</w:t>
            </w:r>
          </w:p>
        </w:tc>
        <w:tc>
          <w:tcPr>
            <w:tcW w:w="2835" w:type="dxa"/>
            <w:tcBorders>
              <w:top w:val="nil"/>
              <w:left w:val="nil"/>
              <w:bottom w:val="single" w:sz="4" w:space="0" w:color="auto"/>
              <w:right w:val="single" w:sz="4" w:space="0" w:color="auto"/>
            </w:tcBorders>
            <w:shd w:val="clear" w:color="auto" w:fill="auto"/>
            <w:noWrap/>
            <w:vAlign w:val="center"/>
          </w:tcPr>
          <w:p w14:paraId="283B1FAD"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7F3B0018"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383EF64D"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hideMark/>
          </w:tcPr>
          <w:p w14:paraId="58712635"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07D391D4" w14:textId="77777777" w:rsidR="00B8477D" w:rsidRPr="00B444D8" w:rsidRDefault="00B8477D" w:rsidP="00E047E6">
            <w:pPr>
              <w:spacing w:after="0"/>
              <w:rPr>
                <w:rFonts w:ascii="Calibri" w:eastAsia="Times New Roman" w:hAnsi="Calibri" w:cs="Calibri"/>
                <w:color w:val="000000"/>
                <w:sz w:val="16"/>
                <w:szCs w:val="16"/>
                <w:lang w:eastAsia="cs-CZ"/>
              </w:rPr>
            </w:pPr>
            <w:r w:rsidRPr="00E759B8">
              <w:rPr>
                <w:rFonts w:ascii="Calibri" w:eastAsia="Times New Roman" w:hAnsi="Calibri" w:cs="Calibri"/>
                <w:color w:val="000000"/>
                <w:sz w:val="16"/>
                <w:szCs w:val="16"/>
                <w:lang w:eastAsia="cs-CZ"/>
              </w:rPr>
              <w:t>Interface</w:t>
            </w:r>
          </w:p>
        </w:tc>
        <w:tc>
          <w:tcPr>
            <w:tcW w:w="5809" w:type="dxa"/>
            <w:tcBorders>
              <w:top w:val="nil"/>
              <w:left w:val="nil"/>
              <w:bottom w:val="single" w:sz="4" w:space="0" w:color="auto"/>
              <w:right w:val="single" w:sz="4" w:space="0" w:color="auto"/>
            </w:tcBorders>
            <w:shd w:val="clear" w:color="auto" w:fill="auto"/>
            <w:vAlign w:val="center"/>
          </w:tcPr>
          <w:p w14:paraId="5A8E2BEF" w14:textId="77777777" w:rsidR="00B8477D" w:rsidRPr="00DF0132"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Min. 3x externí USB, z toho min. 1x USB 3.0.</w:t>
            </w:r>
          </w:p>
          <w:p w14:paraId="1B385953" w14:textId="77777777" w:rsidR="00B8477D" w:rsidRPr="00B444D8"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 xml:space="preserve">Min. </w:t>
            </w:r>
            <w:r>
              <w:rPr>
                <w:rFonts w:ascii="Calibri" w:eastAsia="Times New Roman" w:hAnsi="Calibri" w:cs="Calibri"/>
                <w:color w:val="000000"/>
                <w:sz w:val="16"/>
                <w:szCs w:val="16"/>
                <w:lang w:eastAsia="cs-CZ"/>
              </w:rPr>
              <w:t>1</w:t>
            </w:r>
            <w:r w:rsidRPr="00DF0132">
              <w:rPr>
                <w:rFonts w:ascii="Calibri" w:eastAsia="Times New Roman" w:hAnsi="Calibri" w:cs="Calibri"/>
                <w:color w:val="000000"/>
                <w:sz w:val="16"/>
                <w:szCs w:val="16"/>
                <w:lang w:eastAsia="cs-CZ"/>
              </w:rPr>
              <w:t>x VGA port (</w:t>
            </w:r>
            <w:r>
              <w:rPr>
                <w:rFonts w:ascii="Calibri" w:eastAsia="Times New Roman" w:hAnsi="Calibri" w:cs="Calibri"/>
                <w:color w:val="000000"/>
                <w:sz w:val="16"/>
                <w:szCs w:val="16"/>
                <w:lang w:eastAsia="cs-CZ"/>
              </w:rPr>
              <w:t>n</w:t>
            </w:r>
            <w:r w:rsidRPr="00DF0132">
              <w:rPr>
                <w:rFonts w:ascii="Calibri" w:eastAsia="Times New Roman" w:hAnsi="Calibri" w:cs="Calibri"/>
                <w:color w:val="000000"/>
                <w:sz w:val="16"/>
                <w:szCs w:val="16"/>
                <w:lang w:eastAsia="cs-CZ"/>
              </w:rPr>
              <w:t xml:space="preserve">a přední </w:t>
            </w:r>
            <w:r>
              <w:rPr>
                <w:rFonts w:ascii="Calibri" w:eastAsia="Times New Roman" w:hAnsi="Calibri" w:cs="Calibri"/>
                <w:color w:val="000000"/>
                <w:sz w:val="16"/>
                <w:szCs w:val="16"/>
                <w:lang w:eastAsia="cs-CZ"/>
              </w:rPr>
              <w:t xml:space="preserve">nebo </w:t>
            </w:r>
            <w:r w:rsidRPr="00DF0132">
              <w:rPr>
                <w:rFonts w:ascii="Calibri" w:eastAsia="Times New Roman" w:hAnsi="Calibri" w:cs="Calibri"/>
                <w:color w:val="000000"/>
                <w:sz w:val="16"/>
                <w:szCs w:val="16"/>
                <w:lang w:eastAsia="cs-CZ"/>
              </w:rPr>
              <w:t>na zadní straně serveru).</w:t>
            </w:r>
          </w:p>
        </w:tc>
        <w:tc>
          <w:tcPr>
            <w:tcW w:w="2835" w:type="dxa"/>
            <w:tcBorders>
              <w:top w:val="nil"/>
              <w:left w:val="nil"/>
              <w:bottom w:val="single" w:sz="4" w:space="0" w:color="auto"/>
              <w:right w:val="single" w:sz="4" w:space="0" w:color="auto"/>
            </w:tcBorders>
            <w:shd w:val="clear" w:color="auto" w:fill="auto"/>
            <w:noWrap/>
            <w:vAlign w:val="center"/>
            <w:hideMark/>
          </w:tcPr>
          <w:p w14:paraId="5BC79566"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c>
          <w:tcPr>
            <w:tcW w:w="2567" w:type="dxa"/>
            <w:gridSpan w:val="2"/>
            <w:tcBorders>
              <w:top w:val="nil"/>
              <w:left w:val="nil"/>
              <w:bottom w:val="single" w:sz="4" w:space="0" w:color="auto"/>
              <w:right w:val="single" w:sz="8" w:space="0" w:color="auto"/>
            </w:tcBorders>
            <w:shd w:val="clear" w:color="auto" w:fill="auto"/>
            <w:noWrap/>
            <w:vAlign w:val="center"/>
            <w:hideMark/>
          </w:tcPr>
          <w:p w14:paraId="12BB5881"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r>
      <w:tr w:rsidR="00B8477D" w:rsidRPr="00B444D8" w14:paraId="388189D9"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hideMark/>
          </w:tcPr>
          <w:p w14:paraId="627BAC9B"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3D999ED6" w14:textId="77777777" w:rsidR="00B8477D" w:rsidRPr="00B444D8" w:rsidRDefault="00B8477D" w:rsidP="00E047E6">
            <w:pPr>
              <w:spacing w:after="0"/>
              <w:rPr>
                <w:rFonts w:ascii="Calibri" w:eastAsia="Times New Roman" w:hAnsi="Calibri" w:cs="Calibri"/>
                <w:color w:val="000000"/>
                <w:sz w:val="16"/>
                <w:szCs w:val="16"/>
                <w:lang w:eastAsia="cs-CZ"/>
              </w:rPr>
            </w:pPr>
            <w:r w:rsidRPr="00E41ED3">
              <w:rPr>
                <w:rFonts w:ascii="Calibri" w:eastAsia="Times New Roman" w:hAnsi="Calibri" w:cs="Calibri"/>
                <w:color w:val="000000"/>
                <w:sz w:val="16"/>
                <w:szCs w:val="16"/>
                <w:lang w:eastAsia="cs-CZ"/>
              </w:rPr>
              <w:t>Napájecí zdroje</w:t>
            </w:r>
          </w:p>
        </w:tc>
        <w:tc>
          <w:tcPr>
            <w:tcW w:w="5809" w:type="dxa"/>
            <w:tcBorders>
              <w:top w:val="nil"/>
              <w:left w:val="nil"/>
              <w:bottom w:val="single" w:sz="4" w:space="0" w:color="auto"/>
              <w:right w:val="single" w:sz="4" w:space="0" w:color="auto"/>
            </w:tcBorders>
            <w:shd w:val="clear" w:color="auto" w:fill="auto"/>
            <w:vAlign w:val="center"/>
          </w:tcPr>
          <w:p w14:paraId="4B15DB48" w14:textId="5113A186" w:rsidR="00B8477D" w:rsidRPr="00B444D8"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 xml:space="preserve">2x napájecí zdroj max. 1100 W, redundance, min. </w:t>
            </w:r>
            <w:proofErr w:type="spellStart"/>
            <w:r w:rsidRPr="00DF0132">
              <w:rPr>
                <w:rFonts w:ascii="Calibri" w:eastAsia="Times New Roman" w:hAnsi="Calibri" w:cs="Calibri"/>
                <w:color w:val="000000"/>
                <w:sz w:val="16"/>
                <w:szCs w:val="16"/>
                <w:lang w:eastAsia="cs-CZ"/>
              </w:rPr>
              <w:t>Platinum</w:t>
            </w:r>
            <w:proofErr w:type="spellEnd"/>
            <w:r w:rsidRPr="00DF0132">
              <w:rPr>
                <w:rFonts w:ascii="Calibri" w:eastAsia="Times New Roman" w:hAnsi="Calibri" w:cs="Calibri"/>
                <w:color w:val="000000"/>
                <w:sz w:val="16"/>
                <w:szCs w:val="16"/>
                <w:lang w:eastAsia="cs-CZ"/>
              </w:rPr>
              <w:t xml:space="preserve"> energetická účinnost dle certifikace 80 PLUS.</w:t>
            </w:r>
          </w:p>
        </w:tc>
        <w:tc>
          <w:tcPr>
            <w:tcW w:w="2835" w:type="dxa"/>
            <w:tcBorders>
              <w:top w:val="nil"/>
              <w:left w:val="nil"/>
              <w:bottom w:val="single" w:sz="4" w:space="0" w:color="auto"/>
              <w:right w:val="single" w:sz="4" w:space="0" w:color="auto"/>
            </w:tcBorders>
            <w:shd w:val="clear" w:color="auto" w:fill="auto"/>
            <w:noWrap/>
            <w:vAlign w:val="center"/>
            <w:hideMark/>
          </w:tcPr>
          <w:p w14:paraId="208A2416"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c>
          <w:tcPr>
            <w:tcW w:w="2567" w:type="dxa"/>
            <w:gridSpan w:val="2"/>
            <w:tcBorders>
              <w:top w:val="nil"/>
              <w:left w:val="nil"/>
              <w:bottom w:val="single" w:sz="4" w:space="0" w:color="auto"/>
              <w:right w:val="single" w:sz="8" w:space="0" w:color="auto"/>
            </w:tcBorders>
            <w:shd w:val="clear" w:color="auto" w:fill="auto"/>
            <w:noWrap/>
            <w:vAlign w:val="center"/>
            <w:hideMark/>
          </w:tcPr>
          <w:p w14:paraId="6E972C0B"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r>
      <w:tr w:rsidR="00B8477D" w:rsidRPr="00B444D8" w14:paraId="2A822C9A"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hideMark/>
          </w:tcPr>
          <w:p w14:paraId="5C921A61"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6C0ADF31" w14:textId="77777777" w:rsidR="00B8477D" w:rsidRPr="00B444D8" w:rsidRDefault="00B8477D" w:rsidP="00E047E6">
            <w:pPr>
              <w:spacing w:after="0"/>
              <w:rPr>
                <w:rFonts w:ascii="Calibri" w:eastAsia="Times New Roman" w:hAnsi="Calibri" w:cs="Calibri"/>
                <w:color w:val="000000"/>
                <w:sz w:val="16"/>
                <w:szCs w:val="16"/>
                <w:lang w:eastAsia="cs-CZ"/>
              </w:rPr>
            </w:pPr>
            <w:r w:rsidRPr="00D07690">
              <w:rPr>
                <w:rFonts w:ascii="Calibri" w:eastAsia="Times New Roman" w:hAnsi="Calibri" w:cs="Calibri"/>
                <w:color w:val="000000"/>
                <w:sz w:val="16"/>
                <w:szCs w:val="16"/>
                <w:lang w:eastAsia="cs-CZ"/>
              </w:rPr>
              <w:t>Síťové porty</w:t>
            </w:r>
          </w:p>
        </w:tc>
        <w:tc>
          <w:tcPr>
            <w:tcW w:w="5809" w:type="dxa"/>
            <w:tcBorders>
              <w:top w:val="nil"/>
              <w:left w:val="nil"/>
              <w:bottom w:val="single" w:sz="4" w:space="0" w:color="auto"/>
              <w:right w:val="single" w:sz="4" w:space="0" w:color="auto"/>
            </w:tcBorders>
            <w:shd w:val="clear" w:color="auto" w:fill="auto"/>
            <w:vAlign w:val="center"/>
          </w:tcPr>
          <w:p w14:paraId="7821407A" w14:textId="77777777" w:rsidR="00B8477D" w:rsidRPr="00B444D8" w:rsidRDefault="00B8477D" w:rsidP="00E047E6">
            <w:pPr>
              <w:spacing w:after="0"/>
              <w:rPr>
                <w:rFonts w:ascii="Calibri" w:eastAsia="Times New Roman" w:hAnsi="Calibri" w:cs="Calibri"/>
                <w:color w:val="000000"/>
                <w:sz w:val="16"/>
                <w:szCs w:val="16"/>
                <w:lang w:eastAsia="cs-CZ"/>
              </w:rPr>
            </w:pPr>
            <w:r w:rsidRPr="004D0E14">
              <w:rPr>
                <w:rFonts w:ascii="Calibri" w:eastAsia="Times New Roman" w:hAnsi="Calibri" w:cs="Calibri"/>
                <w:color w:val="000000"/>
                <w:sz w:val="16"/>
                <w:szCs w:val="16"/>
                <w:lang w:eastAsia="cs-CZ"/>
              </w:rPr>
              <w:t xml:space="preserve">Min. </w:t>
            </w:r>
            <w:r>
              <w:rPr>
                <w:rFonts w:ascii="Calibri" w:eastAsia="Times New Roman" w:hAnsi="Calibri" w:cs="Calibri"/>
                <w:color w:val="000000"/>
                <w:sz w:val="16"/>
                <w:szCs w:val="16"/>
                <w:lang w:eastAsia="cs-CZ"/>
              </w:rPr>
              <w:t>2</w:t>
            </w:r>
            <w:r w:rsidRPr="004D0E14">
              <w:rPr>
                <w:rFonts w:ascii="Calibri" w:eastAsia="Times New Roman" w:hAnsi="Calibri" w:cs="Calibri"/>
                <w:color w:val="000000"/>
                <w:sz w:val="16"/>
                <w:szCs w:val="16"/>
                <w:lang w:eastAsia="cs-CZ"/>
              </w:rPr>
              <w:t>x 10/25GbE SFP28</w:t>
            </w:r>
          </w:p>
        </w:tc>
        <w:tc>
          <w:tcPr>
            <w:tcW w:w="2835" w:type="dxa"/>
            <w:tcBorders>
              <w:top w:val="nil"/>
              <w:left w:val="nil"/>
              <w:bottom w:val="single" w:sz="4" w:space="0" w:color="auto"/>
              <w:right w:val="single" w:sz="4" w:space="0" w:color="auto"/>
            </w:tcBorders>
            <w:shd w:val="clear" w:color="auto" w:fill="auto"/>
            <w:noWrap/>
            <w:vAlign w:val="center"/>
            <w:hideMark/>
          </w:tcPr>
          <w:p w14:paraId="2EB374E5"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c>
          <w:tcPr>
            <w:tcW w:w="2567" w:type="dxa"/>
            <w:gridSpan w:val="2"/>
            <w:tcBorders>
              <w:top w:val="nil"/>
              <w:left w:val="nil"/>
              <w:bottom w:val="single" w:sz="4" w:space="0" w:color="auto"/>
              <w:right w:val="single" w:sz="8" w:space="0" w:color="auto"/>
            </w:tcBorders>
            <w:shd w:val="clear" w:color="auto" w:fill="auto"/>
            <w:noWrap/>
            <w:vAlign w:val="center"/>
            <w:hideMark/>
          </w:tcPr>
          <w:p w14:paraId="35983050"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r>
      <w:tr w:rsidR="00B8477D" w:rsidRPr="00B444D8" w14:paraId="54B72E97"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tcPr>
          <w:p w14:paraId="5EF5EAFB"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1B4493A0" w14:textId="77777777" w:rsidR="00B8477D" w:rsidRPr="00D07690"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TPM</w:t>
            </w:r>
          </w:p>
        </w:tc>
        <w:tc>
          <w:tcPr>
            <w:tcW w:w="5809" w:type="dxa"/>
            <w:tcBorders>
              <w:top w:val="nil"/>
              <w:left w:val="nil"/>
              <w:bottom w:val="single" w:sz="4" w:space="0" w:color="auto"/>
              <w:right w:val="single" w:sz="4" w:space="0" w:color="auto"/>
            </w:tcBorders>
            <w:shd w:val="clear" w:color="auto" w:fill="auto"/>
            <w:vAlign w:val="center"/>
          </w:tcPr>
          <w:p w14:paraId="30E01EF1" w14:textId="77777777" w:rsidR="00B8477D" w:rsidRPr="00B444D8"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Integrovaný TPM čip verze min. 2.0</w:t>
            </w:r>
          </w:p>
        </w:tc>
        <w:tc>
          <w:tcPr>
            <w:tcW w:w="2835" w:type="dxa"/>
            <w:tcBorders>
              <w:top w:val="nil"/>
              <w:left w:val="nil"/>
              <w:bottom w:val="single" w:sz="4" w:space="0" w:color="auto"/>
              <w:right w:val="single" w:sz="4" w:space="0" w:color="auto"/>
            </w:tcBorders>
            <w:shd w:val="clear" w:color="auto" w:fill="auto"/>
            <w:noWrap/>
            <w:vAlign w:val="center"/>
          </w:tcPr>
          <w:p w14:paraId="210FD7C6"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77D580B2"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3D0287CF"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hideMark/>
          </w:tcPr>
          <w:p w14:paraId="12832F80"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4DC1F068" w14:textId="77777777" w:rsidR="00B8477D" w:rsidRPr="00B444D8"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Kompatibilita</w:t>
            </w:r>
          </w:p>
        </w:tc>
        <w:tc>
          <w:tcPr>
            <w:tcW w:w="5809" w:type="dxa"/>
            <w:tcBorders>
              <w:top w:val="nil"/>
              <w:left w:val="nil"/>
              <w:bottom w:val="single" w:sz="4" w:space="0" w:color="auto"/>
              <w:right w:val="single" w:sz="4" w:space="0" w:color="auto"/>
            </w:tcBorders>
            <w:shd w:val="clear" w:color="auto" w:fill="auto"/>
            <w:vAlign w:val="center"/>
          </w:tcPr>
          <w:p w14:paraId="24309462" w14:textId="77777777" w:rsidR="00B8477D" w:rsidRDefault="00B8477D" w:rsidP="00E047E6">
            <w:pPr>
              <w:spacing w:after="0"/>
              <w:rPr>
                <w:rFonts w:ascii="Calibri" w:eastAsia="Times New Roman" w:hAnsi="Calibri" w:cs="Calibri"/>
                <w:color w:val="000000"/>
                <w:sz w:val="16"/>
                <w:szCs w:val="16"/>
                <w:lang w:eastAsia="cs-CZ"/>
              </w:rPr>
            </w:pPr>
            <w:r w:rsidRPr="00FE0879">
              <w:rPr>
                <w:rFonts w:ascii="Calibri" w:eastAsia="Times New Roman" w:hAnsi="Calibri" w:cs="Calibri"/>
                <w:color w:val="000000"/>
                <w:sz w:val="16"/>
                <w:szCs w:val="16"/>
                <w:lang w:eastAsia="cs-CZ"/>
              </w:rPr>
              <w:t>Microsoft Windows Server®</w:t>
            </w:r>
          </w:p>
          <w:p w14:paraId="1D2A935E" w14:textId="77777777" w:rsidR="00B8477D" w:rsidRPr="00B444D8" w:rsidRDefault="00B8477D" w:rsidP="00E047E6">
            <w:pPr>
              <w:spacing w:after="0"/>
              <w:rPr>
                <w:rFonts w:ascii="Calibri" w:eastAsia="Times New Roman" w:hAnsi="Calibri" w:cs="Calibri"/>
                <w:color w:val="000000"/>
                <w:sz w:val="16"/>
                <w:szCs w:val="16"/>
                <w:lang w:eastAsia="cs-CZ"/>
              </w:rPr>
            </w:pPr>
            <w:proofErr w:type="spellStart"/>
            <w:r w:rsidRPr="00B71A29">
              <w:rPr>
                <w:rFonts w:ascii="Calibri" w:eastAsia="Times New Roman" w:hAnsi="Calibri" w:cs="Calibri"/>
                <w:color w:val="000000"/>
                <w:sz w:val="16"/>
                <w:szCs w:val="16"/>
                <w:lang w:eastAsia="cs-CZ"/>
              </w:rPr>
              <w:t>VMware</w:t>
            </w:r>
            <w:proofErr w:type="spellEnd"/>
            <w:r w:rsidRPr="00B71A29">
              <w:rPr>
                <w:rFonts w:ascii="Calibri" w:eastAsia="Times New Roman" w:hAnsi="Calibri" w:cs="Calibri"/>
                <w:color w:val="000000"/>
                <w:sz w:val="16"/>
                <w:szCs w:val="16"/>
                <w:lang w:eastAsia="cs-CZ"/>
              </w:rPr>
              <w:t xml:space="preserve">® </w:t>
            </w:r>
            <w:proofErr w:type="spellStart"/>
            <w:r w:rsidRPr="00B71A29">
              <w:rPr>
                <w:rFonts w:ascii="Calibri" w:eastAsia="Times New Roman" w:hAnsi="Calibri" w:cs="Calibri"/>
                <w:color w:val="000000"/>
                <w:sz w:val="16"/>
                <w:szCs w:val="16"/>
                <w:lang w:eastAsia="cs-CZ"/>
              </w:rPr>
              <w:t>ESXi</w:t>
            </w:r>
            <w:proofErr w:type="spellEnd"/>
          </w:p>
        </w:tc>
        <w:tc>
          <w:tcPr>
            <w:tcW w:w="2835" w:type="dxa"/>
            <w:tcBorders>
              <w:top w:val="nil"/>
              <w:left w:val="nil"/>
              <w:bottom w:val="single" w:sz="4" w:space="0" w:color="auto"/>
              <w:right w:val="single" w:sz="4" w:space="0" w:color="auto"/>
            </w:tcBorders>
            <w:shd w:val="clear" w:color="auto" w:fill="auto"/>
            <w:noWrap/>
            <w:vAlign w:val="center"/>
            <w:hideMark/>
          </w:tcPr>
          <w:p w14:paraId="05644708"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c>
          <w:tcPr>
            <w:tcW w:w="2567" w:type="dxa"/>
            <w:gridSpan w:val="2"/>
            <w:tcBorders>
              <w:top w:val="nil"/>
              <w:left w:val="nil"/>
              <w:bottom w:val="single" w:sz="4" w:space="0" w:color="auto"/>
              <w:right w:val="single" w:sz="8" w:space="0" w:color="auto"/>
            </w:tcBorders>
            <w:shd w:val="clear" w:color="auto" w:fill="auto"/>
            <w:noWrap/>
            <w:vAlign w:val="center"/>
            <w:hideMark/>
          </w:tcPr>
          <w:p w14:paraId="7305B520"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r>
      <w:tr w:rsidR="00B8477D" w:rsidRPr="00B444D8" w14:paraId="057B287F"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7"/>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tcPr>
          <w:p w14:paraId="2520DB5B"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788BECA6" w14:textId="77777777" w:rsidR="00B8477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Kompatibilita s centrálním managementem</w:t>
            </w:r>
          </w:p>
        </w:tc>
        <w:tc>
          <w:tcPr>
            <w:tcW w:w="5809" w:type="dxa"/>
            <w:tcBorders>
              <w:top w:val="nil"/>
              <w:left w:val="nil"/>
              <w:bottom w:val="single" w:sz="4" w:space="0" w:color="auto"/>
              <w:right w:val="single" w:sz="4" w:space="0" w:color="auto"/>
            </w:tcBorders>
            <w:shd w:val="clear" w:color="auto" w:fill="auto"/>
            <w:vAlign w:val="center"/>
          </w:tcPr>
          <w:p w14:paraId="2B029E28" w14:textId="77777777" w:rsidR="00B8477D" w:rsidRPr="00BB5BD5" w:rsidRDefault="00B8477D" w:rsidP="00E047E6">
            <w:pPr>
              <w:spacing w:after="0"/>
              <w:rPr>
                <w:rFonts w:ascii="Calibri" w:eastAsia="Times New Roman" w:hAnsi="Calibri" w:cs="Calibri"/>
                <w:color w:val="000000"/>
                <w:sz w:val="16"/>
                <w:szCs w:val="16"/>
                <w:lang w:eastAsia="cs-CZ"/>
              </w:rPr>
            </w:pPr>
            <w:r w:rsidRPr="00BB5BD5">
              <w:rPr>
                <w:rFonts w:ascii="Calibri" w:eastAsia="Times New Roman" w:hAnsi="Calibri" w:cs="Calibri"/>
                <w:color w:val="000000"/>
                <w:sz w:val="16"/>
                <w:szCs w:val="16"/>
                <w:lang w:eastAsia="cs-CZ"/>
              </w:rPr>
              <w:t xml:space="preserve">Management serveru musí být </w:t>
            </w:r>
            <w:proofErr w:type="spellStart"/>
            <w:r w:rsidRPr="00BB5BD5">
              <w:rPr>
                <w:rFonts w:ascii="Calibri" w:eastAsia="Times New Roman" w:hAnsi="Calibri" w:cs="Calibri"/>
                <w:color w:val="000000"/>
                <w:sz w:val="16"/>
                <w:szCs w:val="16"/>
                <w:lang w:eastAsia="cs-CZ"/>
              </w:rPr>
              <w:t>integrovatelný</w:t>
            </w:r>
            <w:proofErr w:type="spellEnd"/>
            <w:r w:rsidRPr="00BB5BD5">
              <w:rPr>
                <w:rFonts w:ascii="Calibri" w:eastAsia="Times New Roman" w:hAnsi="Calibri" w:cs="Calibri"/>
                <w:color w:val="000000"/>
                <w:sz w:val="16"/>
                <w:szCs w:val="16"/>
                <w:lang w:eastAsia="cs-CZ"/>
              </w:rPr>
              <w:t xml:space="preserve"> do centrálního managementu, který podporuje i další produkty stejného výrobce, jako např. disková pole a switche.</w:t>
            </w:r>
          </w:p>
        </w:tc>
        <w:tc>
          <w:tcPr>
            <w:tcW w:w="2835" w:type="dxa"/>
            <w:tcBorders>
              <w:top w:val="nil"/>
              <w:left w:val="nil"/>
              <w:bottom w:val="single" w:sz="4" w:space="0" w:color="auto"/>
              <w:right w:val="single" w:sz="4" w:space="0" w:color="auto"/>
            </w:tcBorders>
            <w:shd w:val="clear" w:color="auto" w:fill="auto"/>
            <w:noWrap/>
            <w:vAlign w:val="center"/>
          </w:tcPr>
          <w:p w14:paraId="1E7A3621"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517B6269"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75A86868"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7"/>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hideMark/>
          </w:tcPr>
          <w:p w14:paraId="60CD3526"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3B7CE8AB" w14:textId="77777777" w:rsidR="00B8477D" w:rsidRPr="00B444D8"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Automatická aktualizace managementu serveru</w:t>
            </w:r>
          </w:p>
        </w:tc>
        <w:tc>
          <w:tcPr>
            <w:tcW w:w="5809" w:type="dxa"/>
            <w:tcBorders>
              <w:top w:val="nil"/>
              <w:left w:val="nil"/>
              <w:bottom w:val="single" w:sz="4" w:space="0" w:color="auto"/>
              <w:right w:val="single" w:sz="4" w:space="0" w:color="auto"/>
            </w:tcBorders>
            <w:shd w:val="clear" w:color="auto" w:fill="auto"/>
            <w:vAlign w:val="center"/>
          </w:tcPr>
          <w:p w14:paraId="41F6B73F" w14:textId="77777777" w:rsidR="00B8477D" w:rsidRPr="00162D35"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 xml:space="preserve">Management serveru musí umožňovat aktualizaci firmware managementu serveru automaticky </w:t>
            </w:r>
            <w:r w:rsidRPr="00BF27B4">
              <w:rPr>
                <w:rFonts w:ascii="Calibri" w:eastAsia="Times New Roman" w:hAnsi="Calibri" w:cs="Calibri"/>
                <w:color w:val="000000"/>
                <w:sz w:val="16"/>
                <w:szCs w:val="16"/>
                <w:lang w:eastAsia="cs-CZ"/>
              </w:rPr>
              <w:t>při vydání nové verze</w:t>
            </w:r>
            <w:r>
              <w:rPr>
                <w:rFonts w:ascii="Calibri" w:eastAsia="Times New Roman" w:hAnsi="Calibri" w:cs="Calibri"/>
                <w:color w:val="000000"/>
                <w:sz w:val="16"/>
                <w:szCs w:val="16"/>
                <w:lang w:eastAsia="cs-CZ"/>
              </w:rPr>
              <w:t xml:space="preserve">, např. v časech nižší zátěže serveru. </w:t>
            </w:r>
            <w:r w:rsidRPr="00BB5BD5">
              <w:rPr>
                <w:rFonts w:ascii="Calibri" w:eastAsia="Times New Roman" w:hAnsi="Calibri" w:cs="Calibri"/>
                <w:color w:val="000000"/>
                <w:sz w:val="16"/>
                <w:szCs w:val="16"/>
                <w:lang w:eastAsia="cs-CZ"/>
              </w:rPr>
              <w:t>Management musí být restartován odděleně od serveru.</w:t>
            </w:r>
            <w:r w:rsidRPr="00F727FF">
              <w:rPr>
                <w:rFonts w:ascii="Calibri" w:eastAsia="Times New Roman" w:hAnsi="Calibri" w:cs="Calibri"/>
                <w:b/>
                <w:bCs/>
                <w:color w:val="000000"/>
                <w:sz w:val="16"/>
                <w:szCs w:val="16"/>
                <w:lang w:eastAsia="cs-CZ"/>
              </w:rPr>
              <w:t xml:space="preserve"> </w:t>
            </w:r>
            <w:r>
              <w:rPr>
                <w:rFonts w:ascii="Calibri" w:eastAsia="Times New Roman" w:hAnsi="Calibri" w:cs="Calibri"/>
                <w:color w:val="000000"/>
                <w:sz w:val="16"/>
                <w:szCs w:val="16"/>
                <w:lang w:eastAsia="cs-CZ"/>
              </w:rPr>
              <w:t xml:space="preserve">V případě, že je restart serveru vyžadován z důvodu aktualizace je administrátor upozorněn min. emailovou </w:t>
            </w:r>
            <w:r w:rsidRPr="00BB5BD5">
              <w:rPr>
                <w:rFonts w:ascii="Calibri" w:eastAsia="Times New Roman" w:hAnsi="Calibri" w:cs="Calibri"/>
                <w:color w:val="000000"/>
                <w:sz w:val="16"/>
                <w:szCs w:val="16"/>
                <w:lang w:eastAsia="cs-CZ"/>
              </w:rPr>
              <w:t>notifikací předem.</w:t>
            </w:r>
            <w:r>
              <w:rPr>
                <w:rFonts w:ascii="Calibri" w:eastAsia="Times New Roman" w:hAnsi="Calibri" w:cs="Calibri"/>
                <w:color w:val="000000"/>
                <w:sz w:val="16"/>
                <w:szCs w:val="16"/>
                <w:lang w:eastAsia="cs-CZ"/>
              </w:rPr>
              <w:t xml:space="preserve"> – možnost nastavení upozornění min. emailovou notifikací</w:t>
            </w:r>
          </w:p>
        </w:tc>
        <w:tc>
          <w:tcPr>
            <w:tcW w:w="2835" w:type="dxa"/>
            <w:tcBorders>
              <w:top w:val="nil"/>
              <w:left w:val="nil"/>
              <w:bottom w:val="single" w:sz="4" w:space="0" w:color="auto"/>
              <w:right w:val="single" w:sz="4" w:space="0" w:color="auto"/>
            </w:tcBorders>
            <w:shd w:val="clear" w:color="auto" w:fill="auto"/>
            <w:noWrap/>
            <w:vAlign w:val="center"/>
            <w:hideMark/>
          </w:tcPr>
          <w:p w14:paraId="30E0BE89"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c>
          <w:tcPr>
            <w:tcW w:w="2567" w:type="dxa"/>
            <w:gridSpan w:val="2"/>
            <w:tcBorders>
              <w:top w:val="nil"/>
              <w:left w:val="nil"/>
              <w:bottom w:val="single" w:sz="4" w:space="0" w:color="auto"/>
              <w:right w:val="single" w:sz="8" w:space="0" w:color="auto"/>
            </w:tcBorders>
            <w:shd w:val="clear" w:color="auto" w:fill="auto"/>
            <w:noWrap/>
            <w:vAlign w:val="center"/>
            <w:hideMark/>
          </w:tcPr>
          <w:p w14:paraId="38FA4EA8"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r>
      <w:tr w:rsidR="00B8477D" w:rsidRPr="00B444D8" w14:paraId="436CE8FB"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hideMark/>
          </w:tcPr>
          <w:p w14:paraId="49EF4343"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7AF44045" w14:textId="77777777" w:rsidR="00B8477D" w:rsidRPr="0090540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Management a vzdálená správa</w:t>
            </w:r>
          </w:p>
        </w:tc>
        <w:tc>
          <w:tcPr>
            <w:tcW w:w="5809" w:type="dxa"/>
            <w:tcBorders>
              <w:top w:val="nil"/>
              <w:left w:val="nil"/>
              <w:bottom w:val="single" w:sz="4" w:space="0" w:color="auto"/>
              <w:right w:val="single" w:sz="4" w:space="0" w:color="auto"/>
            </w:tcBorders>
            <w:shd w:val="clear" w:color="auto" w:fill="auto"/>
          </w:tcPr>
          <w:p w14:paraId="5A636107" w14:textId="35E22D3B" w:rsidR="00B8477D" w:rsidRPr="00BB5BD5" w:rsidRDefault="00B8477D" w:rsidP="00CC3711">
            <w:pPr>
              <w:spacing w:after="0"/>
              <w:rPr>
                <w:rFonts w:ascii="Calibri" w:eastAsia="Times New Roman" w:hAnsi="Calibri" w:cs="Calibri"/>
                <w:color w:val="000000"/>
                <w:sz w:val="16"/>
                <w:szCs w:val="16"/>
                <w:lang w:eastAsia="cs-CZ"/>
              </w:rPr>
            </w:pPr>
            <w:r w:rsidRPr="00BB5BD5">
              <w:rPr>
                <w:rFonts w:ascii="Calibri" w:eastAsia="Times New Roman" w:hAnsi="Calibri" w:cs="Calibri"/>
                <w:color w:val="000000"/>
                <w:sz w:val="16"/>
                <w:szCs w:val="16"/>
                <w:lang w:eastAsia="cs-CZ"/>
              </w:rPr>
              <w:t>Vzdálená správa – dostupnost centrálního management prostředí serveru, nezávislého na spuštěné virtualizační platformě, či spuštěném operačním systému, vč. monitoringu, chybových hlášení emailem, vzdáleného a lokálního připojení (KVM) prostřednictvím dedikovaného LAN portu s podporou IPv4 a IPv6</w:t>
            </w:r>
            <w:r>
              <w:rPr>
                <w:rFonts w:ascii="Calibri" w:eastAsia="Times New Roman" w:hAnsi="Calibri" w:cs="Calibri"/>
                <w:color w:val="000000"/>
                <w:sz w:val="16"/>
                <w:szCs w:val="16"/>
                <w:lang w:eastAsia="cs-CZ"/>
              </w:rPr>
              <w:t>.</w:t>
            </w:r>
            <w:r w:rsidR="00CC3711">
              <w:rPr>
                <w:rFonts w:ascii="Calibri" w:eastAsia="Times New Roman" w:hAnsi="Calibri" w:cs="Calibri"/>
                <w:color w:val="000000"/>
                <w:sz w:val="16"/>
                <w:szCs w:val="16"/>
                <w:lang w:eastAsia="cs-CZ"/>
              </w:rPr>
              <w:t xml:space="preserve"> </w:t>
            </w:r>
            <w:r w:rsidRPr="00BB5BD5">
              <w:rPr>
                <w:rFonts w:ascii="Calibri" w:eastAsia="Times New Roman" w:hAnsi="Calibri" w:cs="Calibri"/>
                <w:color w:val="000000"/>
                <w:sz w:val="16"/>
                <w:szCs w:val="16"/>
                <w:lang w:eastAsia="cs-CZ"/>
              </w:rPr>
              <w:t xml:space="preserve">Vzdálená správa musí disponovat vlastním management GUI, přístupným z běžných www prohlížečů. </w:t>
            </w:r>
          </w:p>
        </w:tc>
        <w:tc>
          <w:tcPr>
            <w:tcW w:w="2835" w:type="dxa"/>
            <w:tcBorders>
              <w:top w:val="nil"/>
              <w:left w:val="nil"/>
              <w:bottom w:val="single" w:sz="4" w:space="0" w:color="auto"/>
              <w:right w:val="single" w:sz="4" w:space="0" w:color="auto"/>
            </w:tcBorders>
            <w:shd w:val="clear" w:color="auto" w:fill="auto"/>
            <w:noWrap/>
            <w:vAlign w:val="center"/>
            <w:hideMark/>
          </w:tcPr>
          <w:p w14:paraId="318E2A20"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c>
          <w:tcPr>
            <w:tcW w:w="2567" w:type="dxa"/>
            <w:gridSpan w:val="2"/>
            <w:tcBorders>
              <w:top w:val="nil"/>
              <w:left w:val="nil"/>
              <w:bottom w:val="single" w:sz="4" w:space="0" w:color="auto"/>
              <w:right w:val="single" w:sz="8" w:space="0" w:color="auto"/>
            </w:tcBorders>
            <w:shd w:val="clear" w:color="auto" w:fill="auto"/>
            <w:noWrap/>
            <w:vAlign w:val="center"/>
            <w:hideMark/>
          </w:tcPr>
          <w:p w14:paraId="35F2ECA3"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r>
      <w:tr w:rsidR="00B8477D" w:rsidRPr="00B444D8" w14:paraId="420495DD"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tcPr>
          <w:p w14:paraId="4432AEC3"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676756EA" w14:textId="77777777" w:rsidR="00B8477D" w:rsidRPr="0090540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Přehled zabezpečení</w:t>
            </w:r>
          </w:p>
        </w:tc>
        <w:tc>
          <w:tcPr>
            <w:tcW w:w="5809" w:type="dxa"/>
            <w:tcBorders>
              <w:top w:val="nil"/>
              <w:left w:val="nil"/>
              <w:bottom w:val="single" w:sz="4" w:space="0" w:color="auto"/>
              <w:right w:val="single" w:sz="4" w:space="0" w:color="auto"/>
            </w:tcBorders>
            <w:shd w:val="clear" w:color="auto" w:fill="auto"/>
          </w:tcPr>
          <w:p w14:paraId="027E3451" w14:textId="77777777" w:rsidR="00B8477D" w:rsidRPr="00BB5BD5" w:rsidRDefault="00B8477D" w:rsidP="00E047E6">
            <w:pPr>
              <w:spacing w:after="0"/>
              <w:rPr>
                <w:rFonts w:ascii="Calibri" w:eastAsia="Times New Roman" w:hAnsi="Calibri" w:cs="Calibri"/>
                <w:color w:val="000000"/>
                <w:sz w:val="16"/>
                <w:szCs w:val="16"/>
                <w:lang w:eastAsia="cs-CZ"/>
              </w:rPr>
            </w:pPr>
            <w:r w:rsidRPr="00BB5BD5">
              <w:rPr>
                <w:rFonts w:ascii="Calibri" w:eastAsia="Times New Roman" w:hAnsi="Calibri" w:cs="Calibri"/>
                <w:color w:val="000000"/>
                <w:sz w:val="16"/>
                <w:szCs w:val="16"/>
                <w:lang w:eastAsia="cs-CZ"/>
              </w:rPr>
              <w:t>Management serveru musí disponovat přehledem zabezpečení serveru, pro možnost rychle identifikovat potenciální bezpečnostní rizika a snadnou kontrolu nad klíčovými bezpečnostními prvky, jako je např. uzamčení konfigurace serveru, detekce složitosti hesel, zapnutí/vypnutí logování neúspěšných přihlašování apod. Přehled zabezpečení musí být jednoznačně barevně identifikovatelný min. v režimu rizika vysoký, střední.</w:t>
            </w:r>
          </w:p>
        </w:tc>
        <w:tc>
          <w:tcPr>
            <w:tcW w:w="2835" w:type="dxa"/>
            <w:tcBorders>
              <w:top w:val="nil"/>
              <w:left w:val="nil"/>
              <w:bottom w:val="single" w:sz="4" w:space="0" w:color="auto"/>
              <w:right w:val="single" w:sz="4" w:space="0" w:color="auto"/>
            </w:tcBorders>
            <w:shd w:val="clear" w:color="auto" w:fill="auto"/>
            <w:noWrap/>
            <w:vAlign w:val="center"/>
          </w:tcPr>
          <w:p w14:paraId="3EA9AAB8"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0E071D88"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5BC31271"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tcPr>
          <w:p w14:paraId="747F780A"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592D1D14" w14:textId="77777777" w:rsidR="00B8477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Efektivní řízení spotřeby/výkonu</w:t>
            </w:r>
          </w:p>
        </w:tc>
        <w:tc>
          <w:tcPr>
            <w:tcW w:w="5809" w:type="dxa"/>
            <w:tcBorders>
              <w:top w:val="nil"/>
              <w:left w:val="nil"/>
              <w:bottom w:val="single" w:sz="4" w:space="0" w:color="auto"/>
              <w:right w:val="single" w:sz="4" w:space="0" w:color="auto"/>
            </w:tcBorders>
            <w:shd w:val="clear" w:color="auto" w:fill="auto"/>
          </w:tcPr>
          <w:p w14:paraId="32C17570" w14:textId="57D1956F" w:rsidR="00B8477D" w:rsidRPr="00F727FF" w:rsidRDefault="00B8477D" w:rsidP="00E047E6">
            <w:pPr>
              <w:spacing w:after="0"/>
              <w:rPr>
                <w:rFonts w:ascii="Calibri" w:eastAsia="Times New Roman" w:hAnsi="Calibri" w:cs="Calibri"/>
                <w:b/>
                <w:bCs/>
                <w:color w:val="000000"/>
                <w:sz w:val="16"/>
                <w:szCs w:val="16"/>
                <w:highlight w:val="yellow"/>
                <w:lang w:eastAsia="cs-CZ"/>
              </w:rPr>
            </w:pPr>
            <w:r w:rsidRPr="00BB5BD5">
              <w:rPr>
                <w:rFonts w:ascii="Calibri" w:eastAsia="Times New Roman" w:hAnsi="Calibri" w:cs="Calibri"/>
                <w:color w:val="000000"/>
                <w:sz w:val="16"/>
                <w:szCs w:val="16"/>
                <w:lang w:eastAsia="cs-CZ"/>
              </w:rPr>
              <w:t>Management serveru musí disponovat funkcí doporučení k optimalizaci výkonu serveru</w:t>
            </w:r>
            <w:r>
              <w:rPr>
                <w:rFonts w:ascii="Calibri" w:eastAsia="Times New Roman" w:hAnsi="Calibri" w:cs="Calibri"/>
                <w:color w:val="000000"/>
                <w:sz w:val="16"/>
                <w:szCs w:val="16"/>
                <w:lang w:eastAsia="cs-CZ"/>
              </w:rPr>
              <w:t>.</w:t>
            </w:r>
          </w:p>
        </w:tc>
        <w:tc>
          <w:tcPr>
            <w:tcW w:w="2835" w:type="dxa"/>
            <w:tcBorders>
              <w:top w:val="nil"/>
              <w:left w:val="nil"/>
              <w:bottom w:val="single" w:sz="4" w:space="0" w:color="auto"/>
              <w:right w:val="single" w:sz="4" w:space="0" w:color="auto"/>
            </w:tcBorders>
            <w:shd w:val="clear" w:color="auto" w:fill="auto"/>
            <w:noWrap/>
            <w:vAlign w:val="center"/>
          </w:tcPr>
          <w:p w14:paraId="42C3161D"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51343ADD" w14:textId="77777777" w:rsidR="00B8477D" w:rsidRPr="00ED7AD4" w:rsidRDefault="00B8477D" w:rsidP="00E047E6">
            <w:pPr>
              <w:spacing w:after="0"/>
              <w:rPr>
                <w:rFonts w:ascii="Calibri" w:eastAsia="Times New Roman" w:hAnsi="Calibri" w:cs="Calibri"/>
                <w:b/>
                <w:bCs/>
                <w:color w:val="000000"/>
                <w:sz w:val="16"/>
                <w:szCs w:val="16"/>
                <w:lang w:eastAsia="cs-CZ"/>
              </w:rPr>
            </w:pPr>
          </w:p>
        </w:tc>
      </w:tr>
      <w:tr w:rsidR="00B8477D" w:rsidRPr="00B444D8" w14:paraId="3AB85684"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tcPr>
          <w:p w14:paraId="65A750F1"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5ED909DC" w14:textId="77777777" w:rsidR="00B8477D" w:rsidRDefault="00B8477D" w:rsidP="00E047E6">
            <w:pPr>
              <w:spacing w:after="0"/>
              <w:rPr>
                <w:rFonts w:ascii="Calibri" w:eastAsia="Times New Roman" w:hAnsi="Calibri" w:cs="Calibri"/>
                <w:color w:val="000000"/>
                <w:sz w:val="16"/>
                <w:szCs w:val="16"/>
                <w:lang w:eastAsia="cs-CZ"/>
              </w:rPr>
            </w:pPr>
            <w:proofErr w:type="spellStart"/>
            <w:r>
              <w:rPr>
                <w:rFonts w:ascii="Calibri" w:eastAsia="Times New Roman" w:hAnsi="Calibri" w:cs="Calibri"/>
                <w:color w:val="000000"/>
                <w:sz w:val="16"/>
                <w:szCs w:val="16"/>
                <w:lang w:eastAsia="cs-CZ"/>
              </w:rPr>
              <w:t>Compliance</w:t>
            </w:r>
            <w:proofErr w:type="spellEnd"/>
          </w:p>
        </w:tc>
        <w:tc>
          <w:tcPr>
            <w:tcW w:w="5809" w:type="dxa"/>
            <w:tcBorders>
              <w:top w:val="nil"/>
              <w:left w:val="nil"/>
              <w:bottom w:val="single" w:sz="4" w:space="0" w:color="auto"/>
              <w:right w:val="single" w:sz="4" w:space="0" w:color="auto"/>
            </w:tcBorders>
            <w:shd w:val="clear" w:color="auto" w:fill="auto"/>
          </w:tcPr>
          <w:p w14:paraId="475C34BB" w14:textId="77777777" w:rsidR="00B8477D" w:rsidRDefault="00B8477D" w:rsidP="00E047E6">
            <w:pPr>
              <w:spacing w:after="0"/>
              <w:rPr>
                <w:rFonts w:ascii="Calibri" w:eastAsia="Times New Roman" w:hAnsi="Calibri" w:cs="Calibri"/>
                <w:color w:val="000000"/>
                <w:sz w:val="16"/>
                <w:szCs w:val="16"/>
                <w:lang w:eastAsia="cs-CZ"/>
              </w:rPr>
            </w:pPr>
            <w:r w:rsidRPr="00162D35">
              <w:rPr>
                <w:rFonts w:ascii="Calibri" w:eastAsia="Times New Roman" w:hAnsi="Calibri" w:cs="Calibri"/>
                <w:color w:val="000000"/>
                <w:sz w:val="16"/>
                <w:szCs w:val="16"/>
                <w:lang w:eastAsia="cs-CZ"/>
              </w:rPr>
              <w:t xml:space="preserve">Z bezpečnostních důvodů musí být možné naplánovat pravidelné provedení porovnání aktuálního stavu </w:t>
            </w:r>
            <w:r>
              <w:rPr>
                <w:rFonts w:ascii="Calibri" w:eastAsia="Times New Roman" w:hAnsi="Calibri" w:cs="Calibri"/>
                <w:color w:val="000000"/>
                <w:sz w:val="16"/>
                <w:szCs w:val="16"/>
                <w:lang w:eastAsia="cs-CZ"/>
              </w:rPr>
              <w:t xml:space="preserve">firmware serveru a jeho konfigurace </w:t>
            </w:r>
            <w:r w:rsidRPr="00162D35">
              <w:rPr>
                <w:rFonts w:ascii="Calibri" w:eastAsia="Times New Roman" w:hAnsi="Calibri" w:cs="Calibri"/>
                <w:color w:val="000000"/>
                <w:sz w:val="16"/>
                <w:szCs w:val="16"/>
                <w:lang w:eastAsia="cs-CZ"/>
              </w:rPr>
              <w:t>s aplikovanou šablonou automatizovaným způsobem, s automatickým zasláním reportu o výsledku porovnání emailem. je-li tato vlastnost licencována, požadujeme plnou licenci v ceně serveru.</w:t>
            </w:r>
          </w:p>
        </w:tc>
        <w:tc>
          <w:tcPr>
            <w:tcW w:w="2835" w:type="dxa"/>
            <w:tcBorders>
              <w:top w:val="nil"/>
              <w:left w:val="nil"/>
              <w:bottom w:val="single" w:sz="4" w:space="0" w:color="auto"/>
              <w:right w:val="single" w:sz="4" w:space="0" w:color="auto"/>
            </w:tcBorders>
            <w:shd w:val="clear" w:color="auto" w:fill="auto"/>
            <w:noWrap/>
            <w:vAlign w:val="center"/>
          </w:tcPr>
          <w:p w14:paraId="375FD4C8"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7272D73E"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32A9B80E"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tcPr>
          <w:p w14:paraId="4CDBDC7F"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29A6C61C" w14:textId="77777777" w:rsidR="00B8477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Bezpečné vymazaní</w:t>
            </w:r>
          </w:p>
        </w:tc>
        <w:tc>
          <w:tcPr>
            <w:tcW w:w="5809" w:type="dxa"/>
            <w:tcBorders>
              <w:top w:val="nil"/>
              <w:left w:val="nil"/>
              <w:bottom w:val="single" w:sz="4" w:space="0" w:color="auto"/>
              <w:right w:val="single" w:sz="4" w:space="0" w:color="auto"/>
            </w:tcBorders>
            <w:shd w:val="clear" w:color="auto" w:fill="auto"/>
          </w:tcPr>
          <w:p w14:paraId="7E0AEF11" w14:textId="77777777" w:rsidR="00B8477D" w:rsidRPr="00BB5BD5" w:rsidRDefault="00B8477D" w:rsidP="00E047E6">
            <w:pPr>
              <w:spacing w:after="0"/>
              <w:rPr>
                <w:rFonts w:ascii="Calibri" w:eastAsia="Times New Roman" w:hAnsi="Calibri" w:cs="Calibri"/>
                <w:color w:val="000000"/>
                <w:sz w:val="16"/>
                <w:szCs w:val="16"/>
                <w:lang w:eastAsia="cs-CZ"/>
              </w:rPr>
            </w:pPr>
            <w:r w:rsidRPr="00BB5BD5">
              <w:rPr>
                <w:rFonts w:ascii="Calibri" w:eastAsia="Times New Roman" w:hAnsi="Calibri" w:cs="Calibri"/>
                <w:color w:val="000000"/>
                <w:sz w:val="16"/>
                <w:szCs w:val="16"/>
                <w:lang w:eastAsia="cs-CZ"/>
              </w:rPr>
              <w:t xml:space="preserve">Management serveru musí disponovat jednoduchou (na jedno kliknutí) možností kompletního smazání serveru dle standardu NIST </w:t>
            </w:r>
            <w:proofErr w:type="gramStart"/>
            <w:r w:rsidRPr="00BB5BD5">
              <w:rPr>
                <w:rFonts w:ascii="Calibri" w:eastAsia="Times New Roman" w:hAnsi="Calibri" w:cs="Calibri"/>
                <w:color w:val="000000"/>
                <w:sz w:val="16"/>
                <w:szCs w:val="16"/>
                <w:lang w:eastAsia="cs-CZ"/>
              </w:rPr>
              <w:t>800-88R1</w:t>
            </w:r>
            <w:proofErr w:type="gramEnd"/>
            <w:r w:rsidRPr="00BB5BD5">
              <w:rPr>
                <w:rFonts w:ascii="Calibri" w:eastAsia="Times New Roman" w:hAnsi="Calibri" w:cs="Calibri"/>
                <w:color w:val="000000"/>
                <w:sz w:val="16"/>
                <w:szCs w:val="16"/>
                <w:lang w:eastAsia="cs-CZ"/>
              </w:rPr>
              <w:t xml:space="preserve"> tak, aby na serveru nezůstala žádná data, nebo informace o vlastnických informací.</w:t>
            </w:r>
          </w:p>
        </w:tc>
        <w:tc>
          <w:tcPr>
            <w:tcW w:w="2835" w:type="dxa"/>
            <w:tcBorders>
              <w:top w:val="nil"/>
              <w:left w:val="nil"/>
              <w:bottom w:val="single" w:sz="4" w:space="0" w:color="auto"/>
              <w:right w:val="single" w:sz="4" w:space="0" w:color="auto"/>
            </w:tcBorders>
            <w:shd w:val="clear" w:color="auto" w:fill="auto"/>
            <w:noWrap/>
            <w:vAlign w:val="center"/>
          </w:tcPr>
          <w:p w14:paraId="048269A6"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1A1BAC32"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35F85279"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tcPr>
          <w:p w14:paraId="3406CC46"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03D77572" w14:textId="77777777" w:rsidR="00B8477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Zámek konfigurace</w:t>
            </w:r>
          </w:p>
        </w:tc>
        <w:tc>
          <w:tcPr>
            <w:tcW w:w="5809" w:type="dxa"/>
            <w:tcBorders>
              <w:top w:val="nil"/>
              <w:left w:val="nil"/>
              <w:bottom w:val="single" w:sz="4" w:space="0" w:color="auto"/>
              <w:right w:val="single" w:sz="4" w:space="0" w:color="auto"/>
            </w:tcBorders>
            <w:shd w:val="clear" w:color="auto" w:fill="auto"/>
          </w:tcPr>
          <w:p w14:paraId="7BC14BFC" w14:textId="77777777" w:rsidR="00B8477D" w:rsidRPr="00BB5BD5" w:rsidRDefault="00B8477D" w:rsidP="00E047E6">
            <w:pPr>
              <w:spacing w:after="0"/>
              <w:rPr>
                <w:rFonts w:ascii="Calibri" w:eastAsia="Times New Roman" w:hAnsi="Calibri" w:cs="Calibri"/>
                <w:color w:val="000000"/>
                <w:sz w:val="16"/>
                <w:szCs w:val="16"/>
                <w:lang w:eastAsia="cs-CZ"/>
              </w:rPr>
            </w:pPr>
            <w:r w:rsidRPr="00BB5BD5">
              <w:rPr>
                <w:rFonts w:ascii="Calibri" w:eastAsia="Times New Roman" w:hAnsi="Calibri" w:cs="Calibri"/>
                <w:color w:val="000000"/>
                <w:sz w:val="16"/>
                <w:szCs w:val="16"/>
                <w:lang w:eastAsia="cs-CZ"/>
              </w:rPr>
              <w:t xml:space="preserve">Management serveru musí umožnovat tzv. zámek konfigurace celého serveru nebo specifických komponent. Digitální otisk konfigurace serveru musí být bezpečně uložen jako logovací soubor např. na serverovém integrovaném TPM čipu. Jakýkoliv pokus o vniknutí musí být detekován a server pak není možné, do zadání hesla tohoto zámku a revizi změn, </w:t>
            </w:r>
            <w:proofErr w:type="spellStart"/>
            <w:r w:rsidRPr="00BB5BD5">
              <w:rPr>
                <w:rFonts w:ascii="Calibri" w:eastAsia="Times New Roman" w:hAnsi="Calibri" w:cs="Calibri"/>
                <w:color w:val="000000"/>
                <w:sz w:val="16"/>
                <w:szCs w:val="16"/>
                <w:lang w:eastAsia="cs-CZ"/>
              </w:rPr>
              <w:t>nabootovat</w:t>
            </w:r>
            <w:proofErr w:type="spellEnd"/>
            <w:r w:rsidRPr="00BB5BD5">
              <w:rPr>
                <w:rFonts w:ascii="Calibri" w:eastAsia="Times New Roman" w:hAnsi="Calibri" w:cs="Calibri"/>
                <w:color w:val="000000"/>
                <w:sz w:val="16"/>
                <w:szCs w:val="16"/>
                <w:lang w:eastAsia="cs-CZ"/>
              </w:rPr>
              <w:t>.</w:t>
            </w:r>
          </w:p>
        </w:tc>
        <w:tc>
          <w:tcPr>
            <w:tcW w:w="2835" w:type="dxa"/>
            <w:tcBorders>
              <w:top w:val="nil"/>
              <w:left w:val="nil"/>
              <w:bottom w:val="single" w:sz="4" w:space="0" w:color="auto"/>
              <w:right w:val="single" w:sz="4" w:space="0" w:color="auto"/>
            </w:tcBorders>
            <w:shd w:val="clear" w:color="auto" w:fill="auto"/>
            <w:noWrap/>
            <w:vAlign w:val="center"/>
          </w:tcPr>
          <w:p w14:paraId="418CFDE1"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58F479FA"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2B9AEA0E"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tcPr>
          <w:p w14:paraId="1280BFF4"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7050BEDE" w14:textId="77777777" w:rsidR="00B8477D" w:rsidRPr="0090540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Bare metal</w:t>
            </w:r>
          </w:p>
        </w:tc>
        <w:tc>
          <w:tcPr>
            <w:tcW w:w="5809" w:type="dxa"/>
            <w:tcBorders>
              <w:top w:val="nil"/>
              <w:left w:val="nil"/>
              <w:bottom w:val="single" w:sz="4" w:space="0" w:color="auto"/>
              <w:right w:val="single" w:sz="4" w:space="0" w:color="auto"/>
            </w:tcBorders>
            <w:shd w:val="clear" w:color="auto" w:fill="auto"/>
          </w:tcPr>
          <w:p w14:paraId="64B73292" w14:textId="77777777" w:rsidR="00B8477D" w:rsidRPr="00BB5BD5" w:rsidRDefault="00B8477D" w:rsidP="00E047E6">
            <w:pPr>
              <w:spacing w:after="0"/>
              <w:rPr>
                <w:rFonts w:ascii="Calibri" w:eastAsia="Times New Roman" w:hAnsi="Calibri" w:cs="Calibri"/>
                <w:color w:val="000000"/>
                <w:sz w:val="16"/>
                <w:szCs w:val="16"/>
                <w:lang w:eastAsia="cs-CZ"/>
              </w:rPr>
            </w:pPr>
            <w:r w:rsidRPr="00BB5BD5">
              <w:rPr>
                <w:rFonts w:ascii="Calibri" w:eastAsia="Times New Roman" w:hAnsi="Calibri" w:cs="Calibri"/>
                <w:color w:val="000000"/>
                <w:sz w:val="16"/>
                <w:szCs w:val="16"/>
                <w:lang w:eastAsia="cs-CZ"/>
              </w:rPr>
              <w:t xml:space="preserve">Centrální management serverů musí umožňovat „server bare metal“ </w:t>
            </w:r>
            <w:proofErr w:type="spellStart"/>
            <w:r w:rsidRPr="00BB5BD5">
              <w:rPr>
                <w:rFonts w:ascii="Calibri" w:eastAsia="Times New Roman" w:hAnsi="Calibri" w:cs="Calibri"/>
                <w:color w:val="000000"/>
                <w:sz w:val="16"/>
                <w:szCs w:val="16"/>
                <w:lang w:eastAsia="cs-CZ"/>
              </w:rPr>
              <w:t>deployment</w:t>
            </w:r>
            <w:proofErr w:type="spellEnd"/>
            <w:r w:rsidRPr="00BB5BD5">
              <w:rPr>
                <w:rFonts w:ascii="Calibri" w:eastAsia="Times New Roman" w:hAnsi="Calibri" w:cs="Calibri"/>
                <w:color w:val="000000"/>
                <w:sz w:val="16"/>
                <w:szCs w:val="16"/>
                <w:lang w:eastAsia="cs-CZ"/>
              </w:rPr>
              <w:t xml:space="preserve"> založený na šablonách (předdefinovaných konfiguracích pravidel, jejichž součástí je kromě samotného OS i konfigurace BIOS, RAID). </w:t>
            </w:r>
          </w:p>
        </w:tc>
        <w:tc>
          <w:tcPr>
            <w:tcW w:w="2835" w:type="dxa"/>
            <w:tcBorders>
              <w:top w:val="nil"/>
              <w:left w:val="nil"/>
              <w:bottom w:val="single" w:sz="4" w:space="0" w:color="auto"/>
              <w:right w:val="single" w:sz="4" w:space="0" w:color="auto"/>
            </w:tcBorders>
            <w:shd w:val="clear" w:color="auto" w:fill="auto"/>
            <w:noWrap/>
            <w:vAlign w:val="center"/>
          </w:tcPr>
          <w:p w14:paraId="631C08D8"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458C1F55"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3C7D6EE2"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C5E0B3" w:themeFill="accent6" w:themeFillTint="66"/>
            <w:vAlign w:val="center"/>
            <w:hideMark/>
          </w:tcPr>
          <w:p w14:paraId="7111DD52"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55648282" w14:textId="77777777" w:rsidR="00B8477D" w:rsidRPr="0090540D" w:rsidRDefault="00B8477D" w:rsidP="00E047E6">
            <w:pPr>
              <w:spacing w:after="0"/>
              <w:rPr>
                <w:rFonts w:ascii="Calibri" w:eastAsia="Times New Roman" w:hAnsi="Calibri" w:cs="Calibri"/>
                <w:color w:val="000000"/>
                <w:sz w:val="16"/>
                <w:szCs w:val="16"/>
                <w:lang w:eastAsia="cs-CZ"/>
              </w:rPr>
            </w:pPr>
            <w:r w:rsidRPr="0090540D">
              <w:rPr>
                <w:rFonts w:ascii="Calibri" w:eastAsia="Times New Roman" w:hAnsi="Calibri" w:cs="Calibri"/>
                <w:color w:val="000000"/>
                <w:sz w:val="16"/>
                <w:szCs w:val="16"/>
                <w:lang w:eastAsia="cs-CZ"/>
              </w:rPr>
              <w:t>Záruka a technická podpora výrobce</w:t>
            </w:r>
          </w:p>
        </w:tc>
        <w:tc>
          <w:tcPr>
            <w:tcW w:w="5809" w:type="dxa"/>
            <w:tcBorders>
              <w:top w:val="nil"/>
              <w:left w:val="nil"/>
              <w:bottom w:val="single" w:sz="4" w:space="0" w:color="auto"/>
              <w:right w:val="single" w:sz="4" w:space="0" w:color="auto"/>
            </w:tcBorders>
            <w:shd w:val="clear" w:color="auto" w:fill="auto"/>
            <w:vAlign w:val="center"/>
          </w:tcPr>
          <w:p w14:paraId="0BEF887A" w14:textId="4E078D43" w:rsidR="00B8477D" w:rsidRPr="00162D35"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Standardní z</w:t>
            </w:r>
            <w:r w:rsidRPr="00162D35">
              <w:rPr>
                <w:rFonts w:ascii="Calibri" w:eastAsia="Times New Roman" w:hAnsi="Calibri" w:cs="Calibri"/>
                <w:color w:val="000000"/>
                <w:sz w:val="16"/>
                <w:szCs w:val="16"/>
                <w:lang w:eastAsia="cs-CZ"/>
              </w:rPr>
              <w:t>áruka min. 60 měsíců</w:t>
            </w:r>
          </w:p>
          <w:p w14:paraId="7F535C3A" w14:textId="77777777" w:rsidR="00B8477D" w:rsidRPr="00162D35" w:rsidRDefault="00B8477D" w:rsidP="00E047E6">
            <w:pPr>
              <w:spacing w:after="0"/>
              <w:rPr>
                <w:rFonts w:ascii="Calibri" w:eastAsia="Times New Roman" w:hAnsi="Calibri" w:cs="Calibri"/>
                <w:color w:val="000000"/>
                <w:sz w:val="16"/>
                <w:szCs w:val="16"/>
                <w:lang w:eastAsia="cs-CZ"/>
              </w:rPr>
            </w:pPr>
            <w:r w:rsidRPr="00162D35">
              <w:rPr>
                <w:rFonts w:ascii="Calibri" w:eastAsia="Times New Roman" w:hAnsi="Calibri" w:cs="Calibri"/>
                <w:color w:val="000000"/>
                <w:sz w:val="16"/>
                <w:szCs w:val="16"/>
                <w:lang w:eastAsia="cs-CZ"/>
              </w:rPr>
              <w:t>Servis je poskytován přímo výrobcem hardware.</w:t>
            </w:r>
          </w:p>
          <w:p w14:paraId="3C0607D8" w14:textId="77777777" w:rsidR="00B8477D" w:rsidRPr="00162D35" w:rsidRDefault="00B8477D" w:rsidP="00E047E6">
            <w:pPr>
              <w:spacing w:after="0"/>
              <w:rPr>
                <w:rFonts w:ascii="Calibri" w:eastAsia="Times New Roman" w:hAnsi="Calibri" w:cs="Calibri"/>
                <w:color w:val="000000"/>
                <w:sz w:val="16"/>
                <w:szCs w:val="16"/>
                <w:lang w:eastAsia="cs-CZ"/>
              </w:rPr>
            </w:pPr>
            <w:r w:rsidRPr="00162D35">
              <w:rPr>
                <w:rFonts w:ascii="Calibri" w:eastAsia="Times New Roman" w:hAnsi="Calibri" w:cs="Calibri"/>
                <w:color w:val="000000"/>
                <w:sz w:val="16"/>
                <w:szCs w:val="16"/>
                <w:lang w:eastAsia="cs-CZ"/>
              </w:rPr>
              <w:t>Oprava v místě instalace hardware.</w:t>
            </w:r>
          </w:p>
          <w:p w14:paraId="4E67BD2A" w14:textId="2330E328" w:rsidR="00B8477D" w:rsidRPr="00162D35" w:rsidRDefault="00B8477D" w:rsidP="00E047E6">
            <w:pPr>
              <w:spacing w:after="0"/>
              <w:rPr>
                <w:rFonts w:ascii="Calibri" w:eastAsia="Times New Roman" w:hAnsi="Calibri" w:cs="Calibri"/>
                <w:color w:val="000000"/>
                <w:sz w:val="16"/>
                <w:szCs w:val="16"/>
                <w:lang w:eastAsia="cs-CZ"/>
              </w:rPr>
            </w:pPr>
            <w:r w:rsidRPr="00162D35">
              <w:rPr>
                <w:rFonts w:ascii="Calibri" w:eastAsia="Times New Roman" w:hAnsi="Calibri" w:cs="Calibri"/>
                <w:color w:val="000000"/>
                <w:sz w:val="16"/>
                <w:szCs w:val="16"/>
                <w:lang w:eastAsia="cs-CZ"/>
              </w:rPr>
              <w:t>Možnost automatického generování servisního incidentu přímo u výrobce hardware (server musí být schopen automatizovaného předávání závad a otevírání servisních požadavku na helpdesk výrobce).</w:t>
            </w:r>
          </w:p>
          <w:p w14:paraId="7CD0C9F9" w14:textId="77777777" w:rsidR="00B8477D" w:rsidRPr="00162D35" w:rsidRDefault="00B8477D" w:rsidP="00E047E6">
            <w:pPr>
              <w:spacing w:after="0"/>
              <w:rPr>
                <w:rFonts w:ascii="Calibri" w:eastAsia="Times New Roman" w:hAnsi="Calibri" w:cs="Calibri"/>
                <w:color w:val="000000"/>
                <w:sz w:val="16"/>
                <w:szCs w:val="16"/>
                <w:lang w:eastAsia="cs-CZ"/>
              </w:rPr>
            </w:pPr>
            <w:r w:rsidRPr="00162D35">
              <w:rPr>
                <w:rFonts w:ascii="Calibri" w:eastAsia="Times New Roman" w:hAnsi="Calibri" w:cs="Calibri"/>
                <w:color w:val="000000"/>
                <w:sz w:val="16"/>
                <w:szCs w:val="16"/>
                <w:lang w:eastAsia="cs-CZ"/>
              </w:rPr>
              <w:t xml:space="preserve">Podpora musí zahrnovat i nárok na aktualizace software a firmware pro komponenty serveru. Podpora prostřednictvím </w:t>
            </w:r>
            <w:r>
              <w:rPr>
                <w:rFonts w:ascii="Calibri" w:eastAsia="Times New Roman" w:hAnsi="Calibri" w:cs="Calibri"/>
                <w:color w:val="000000"/>
                <w:sz w:val="16"/>
                <w:szCs w:val="16"/>
                <w:lang w:eastAsia="cs-CZ"/>
              </w:rPr>
              <w:t>i</w:t>
            </w:r>
            <w:r w:rsidRPr="00162D35">
              <w:rPr>
                <w:rFonts w:ascii="Calibri" w:eastAsia="Times New Roman" w:hAnsi="Calibri" w:cs="Calibri"/>
                <w:color w:val="000000"/>
                <w:sz w:val="16"/>
                <w:szCs w:val="16"/>
                <w:lang w:eastAsia="cs-CZ"/>
              </w:rPr>
              <w:t>nternetu musí umožňovat ověření typu a délky záruky a stahování aktuálních ovladačů, firmware, software a manuálů z internetu adresně pro konkrétní zadané sériové číslo zařízení.</w:t>
            </w:r>
          </w:p>
        </w:tc>
        <w:tc>
          <w:tcPr>
            <w:tcW w:w="2835" w:type="dxa"/>
            <w:tcBorders>
              <w:top w:val="nil"/>
              <w:left w:val="nil"/>
              <w:bottom w:val="single" w:sz="4" w:space="0" w:color="auto"/>
              <w:right w:val="single" w:sz="4" w:space="0" w:color="auto"/>
            </w:tcBorders>
            <w:shd w:val="clear" w:color="auto" w:fill="auto"/>
            <w:noWrap/>
            <w:vAlign w:val="center"/>
            <w:hideMark/>
          </w:tcPr>
          <w:p w14:paraId="70E14DDD"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c>
          <w:tcPr>
            <w:tcW w:w="2567" w:type="dxa"/>
            <w:gridSpan w:val="2"/>
            <w:tcBorders>
              <w:top w:val="nil"/>
              <w:left w:val="nil"/>
              <w:bottom w:val="single" w:sz="4" w:space="0" w:color="auto"/>
              <w:right w:val="single" w:sz="8" w:space="0" w:color="auto"/>
            </w:tcBorders>
            <w:shd w:val="clear" w:color="auto" w:fill="auto"/>
            <w:noWrap/>
            <w:vAlign w:val="center"/>
            <w:hideMark/>
          </w:tcPr>
          <w:p w14:paraId="0E751398"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r>
      <w:tr w:rsidR="00B8477D" w:rsidRPr="00B444D8" w14:paraId="2B304DD0"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val="restart"/>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hideMark/>
          </w:tcPr>
          <w:p w14:paraId="3313A493" w14:textId="77777777" w:rsidR="00B8477D" w:rsidRPr="00B444D8" w:rsidRDefault="00B8477D" w:rsidP="00E047E6">
            <w:pPr>
              <w:spacing w:after="0"/>
              <w:jc w:val="center"/>
              <w:rPr>
                <w:rFonts w:ascii="Calibri" w:eastAsia="Times New Roman" w:hAnsi="Calibri" w:cs="Calibri"/>
                <w:b/>
                <w:bCs/>
                <w:color w:val="000000"/>
                <w:sz w:val="16"/>
                <w:szCs w:val="16"/>
                <w:lang w:eastAsia="cs-CZ"/>
              </w:rPr>
            </w:pPr>
            <w:r>
              <w:rPr>
                <w:rFonts w:ascii="Calibri" w:eastAsia="Times New Roman" w:hAnsi="Calibri" w:cs="Calibri"/>
                <w:b/>
                <w:bCs/>
                <w:color w:val="000000"/>
                <w:sz w:val="16"/>
                <w:szCs w:val="16"/>
                <w:lang w:eastAsia="cs-CZ"/>
              </w:rPr>
              <w:lastRenderedPageBreak/>
              <w:t>Úložiště záloh</w:t>
            </w:r>
          </w:p>
        </w:tc>
        <w:tc>
          <w:tcPr>
            <w:tcW w:w="1710" w:type="dxa"/>
            <w:tcBorders>
              <w:top w:val="single" w:sz="4" w:space="0" w:color="auto"/>
              <w:left w:val="nil"/>
              <w:bottom w:val="single" w:sz="4" w:space="0" w:color="auto"/>
              <w:right w:val="single" w:sz="4" w:space="0" w:color="auto"/>
            </w:tcBorders>
            <w:shd w:val="clear" w:color="auto" w:fill="auto"/>
            <w:vAlign w:val="center"/>
          </w:tcPr>
          <w:p w14:paraId="139D7864" w14:textId="77777777" w:rsidR="00B8477D" w:rsidRPr="00B444D8"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Identifikace nabízeného řešení</w:t>
            </w:r>
          </w:p>
        </w:tc>
        <w:tc>
          <w:tcPr>
            <w:tcW w:w="5809" w:type="dxa"/>
            <w:tcBorders>
              <w:top w:val="single" w:sz="4" w:space="0" w:color="auto"/>
              <w:left w:val="nil"/>
              <w:bottom w:val="single" w:sz="4" w:space="0" w:color="auto"/>
              <w:right w:val="single" w:sz="4" w:space="0" w:color="auto"/>
            </w:tcBorders>
            <w:shd w:val="clear" w:color="auto" w:fill="auto"/>
            <w:vAlign w:val="center"/>
          </w:tcPr>
          <w:p w14:paraId="1B2057C4" w14:textId="77777777" w:rsidR="00B8477D" w:rsidRPr="00B444D8"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Jednoznačná identifikace serveru (název, typ, označení výrobce apod.)</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42D3BFF6"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c>
          <w:tcPr>
            <w:tcW w:w="2567" w:type="dxa"/>
            <w:gridSpan w:val="2"/>
            <w:tcBorders>
              <w:top w:val="single" w:sz="4" w:space="0" w:color="auto"/>
              <w:left w:val="nil"/>
              <w:bottom w:val="single" w:sz="4" w:space="0" w:color="auto"/>
              <w:right w:val="single" w:sz="8" w:space="0" w:color="auto"/>
            </w:tcBorders>
            <w:shd w:val="clear" w:color="auto" w:fill="auto"/>
            <w:noWrap/>
            <w:vAlign w:val="center"/>
            <w:hideMark/>
          </w:tcPr>
          <w:p w14:paraId="50781E54"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r>
      <w:tr w:rsidR="00B8477D" w:rsidRPr="00B444D8" w14:paraId="29B32E02"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hideMark/>
          </w:tcPr>
          <w:p w14:paraId="77260178"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081361CB" w14:textId="77777777" w:rsidR="00B8477D" w:rsidRPr="00B444D8" w:rsidRDefault="00B8477D" w:rsidP="00E047E6">
            <w:pPr>
              <w:spacing w:after="0"/>
              <w:rPr>
                <w:rFonts w:ascii="Calibri" w:eastAsia="Times New Roman" w:hAnsi="Calibri" w:cs="Calibri"/>
                <w:color w:val="000000"/>
                <w:sz w:val="16"/>
                <w:szCs w:val="16"/>
                <w:lang w:eastAsia="cs-CZ"/>
              </w:rPr>
            </w:pPr>
            <w:r w:rsidRPr="00F30631">
              <w:rPr>
                <w:rFonts w:ascii="Calibri" w:eastAsia="Times New Roman" w:hAnsi="Calibri" w:cs="Calibri"/>
                <w:color w:val="000000"/>
                <w:sz w:val="16"/>
                <w:szCs w:val="16"/>
                <w:lang w:eastAsia="cs-CZ"/>
              </w:rPr>
              <w:t>Provedení</w:t>
            </w:r>
          </w:p>
        </w:tc>
        <w:tc>
          <w:tcPr>
            <w:tcW w:w="5809" w:type="dxa"/>
            <w:tcBorders>
              <w:top w:val="nil"/>
              <w:left w:val="nil"/>
              <w:bottom w:val="single" w:sz="4" w:space="0" w:color="auto"/>
              <w:right w:val="single" w:sz="4" w:space="0" w:color="auto"/>
            </w:tcBorders>
            <w:shd w:val="clear" w:color="auto" w:fill="auto"/>
            <w:vAlign w:val="center"/>
          </w:tcPr>
          <w:p w14:paraId="6A9B4C56" w14:textId="77777777" w:rsidR="00B8477D" w:rsidRPr="00DF0132"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Umístitelné do racku, včetně montážního materiálu, max. 2U.</w:t>
            </w:r>
          </w:p>
          <w:p w14:paraId="62CC63CB" w14:textId="77777777" w:rsidR="00B8477D" w:rsidRPr="00B444D8" w:rsidRDefault="00B8477D" w:rsidP="00E047E6">
            <w:pPr>
              <w:spacing w:after="0"/>
              <w:rPr>
                <w:rFonts w:ascii="Calibri" w:eastAsia="Times New Roman" w:hAnsi="Calibri" w:cs="Calibri"/>
                <w:color w:val="000000"/>
                <w:sz w:val="16"/>
                <w:szCs w:val="16"/>
                <w:lang w:eastAsia="cs-CZ"/>
              </w:rPr>
            </w:pPr>
            <w:r w:rsidRPr="00DF0132">
              <w:rPr>
                <w:rFonts w:ascii="Calibri" w:eastAsia="Times New Roman" w:hAnsi="Calibri" w:cs="Calibri"/>
                <w:color w:val="000000"/>
                <w:sz w:val="16"/>
                <w:szCs w:val="16"/>
                <w:lang w:eastAsia="cs-CZ"/>
              </w:rPr>
              <w:t>Barevně označené hot-</w:t>
            </w:r>
            <w:proofErr w:type="spellStart"/>
            <w:r w:rsidRPr="00DF0132">
              <w:rPr>
                <w:rFonts w:ascii="Calibri" w:eastAsia="Times New Roman" w:hAnsi="Calibri" w:cs="Calibri"/>
                <w:color w:val="000000"/>
                <w:sz w:val="16"/>
                <w:szCs w:val="16"/>
                <w:lang w:eastAsia="cs-CZ"/>
              </w:rPr>
              <w:t>plug</w:t>
            </w:r>
            <w:proofErr w:type="spellEnd"/>
            <w:r w:rsidRPr="00DF0132">
              <w:rPr>
                <w:rFonts w:ascii="Calibri" w:eastAsia="Times New Roman" w:hAnsi="Calibri" w:cs="Calibri"/>
                <w:color w:val="000000"/>
                <w:sz w:val="16"/>
                <w:szCs w:val="16"/>
                <w:lang w:eastAsia="cs-CZ"/>
              </w:rPr>
              <w:t xml:space="preserve"> komponenty.</w:t>
            </w:r>
          </w:p>
        </w:tc>
        <w:tc>
          <w:tcPr>
            <w:tcW w:w="2835" w:type="dxa"/>
            <w:tcBorders>
              <w:top w:val="nil"/>
              <w:left w:val="nil"/>
              <w:bottom w:val="single" w:sz="4" w:space="0" w:color="auto"/>
              <w:right w:val="single" w:sz="4" w:space="0" w:color="auto"/>
            </w:tcBorders>
            <w:shd w:val="clear" w:color="auto" w:fill="auto"/>
            <w:noWrap/>
            <w:vAlign w:val="center"/>
          </w:tcPr>
          <w:p w14:paraId="561D59CE"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3F0B25BA"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193883EB"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hideMark/>
          </w:tcPr>
          <w:p w14:paraId="59F8C99C"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385B3911" w14:textId="5CD73AF5" w:rsidR="00B8477D" w:rsidRPr="00B444D8" w:rsidRDefault="00CC3711"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Kompatibilita</w:t>
            </w:r>
          </w:p>
        </w:tc>
        <w:tc>
          <w:tcPr>
            <w:tcW w:w="5809" w:type="dxa"/>
            <w:tcBorders>
              <w:top w:val="nil"/>
              <w:left w:val="nil"/>
              <w:bottom w:val="single" w:sz="4" w:space="0" w:color="auto"/>
              <w:right w:val="single" w:sz="4" w:space="0" w:color="auto"/>
            </w:tcBorders>
            <w:shd w:val="clear" w:color="auto" w:fill="auto"/>
            <w:vAlign w:val="center"/>
          </w:tcPr>
          <w:p w14:paraId="1EA92163" w14:textId="726323DC" w:rsidR="00B8477D" w:rsidRPr="00B444D8" w:rsidRDefault="00B8477D" w:rsidP="00E047E6">
            <w:pPr>
              <w:spacing w:after="0"/>
              <w:rPr>
                <w:rFonts w:ascii="Calibri" w:eastAsia="Times New Roman" w:hAnsi="Calibri" w:cs="Calibri"/>
                <w:color w:val="000000"/>
                <w:sz w:val="16"/>
                <w:szCs w:val="16"/>
                <w:lang w:eastAsia="cs-CZ"/>
              </w:rPr>
            </w:pPr>
            <w:r w:rsidRPr="00087C05">
              <w:rPr>
                <w:rFonts w:ascii="Calibri" w:eastAsia="Times New Roman" w:hAnsi="Calibri" w:cs="Calibri"/>
                <w:color w:val="000000"/>
                <w:sz w:val="16"/>
                <w:szCs w:val="16"/>
                <w:lang w:eastAsia="cs-CZ"/>
              </w:rPr>
              <w:t xml:space="preserve">Nabízené zařízení pro zálohování musí být certifikováno pro spolupráci </w:t>
            </w:r>
            <w:r>
              <w:rPr>
                <w:rFonts w:ascii="Calibri" w:eastAsia="Times New Roman" w:hAnsi="Calibri" w:cs="Calibri"/>
                <w:color w:val="000000"/>
                <w:sz w:val="16"/>
                <w:szCs w:val="16"/>
                <w:lang w:eastAsia="cs-CZ"/>
              </w:rPr>
              <w:t xml:space="preserve">se stávajícím </w:t>
            </w:r>
            <w:r w:rsidR="00CC3711">
              <w:rPr>
                <w:rFonts w:ascii="Calibri" w:eastAsia="Times New Roman" w:hAnsi="Calibri" w:cs="Calibri"/>
                <w:color w:val="000000"/>
                <w:sz w:val="16"/>
                <w:szCs w:val="16"/>
                <w:lang w:eastAsia="cs-CZ"/>
              </w:rPr>
              <w:t xml:space="preserve">zálohovacím </w:t>
            </w:r>
            <w:r>
              <w:rPr>
                <w:rFonts w:ascii="Calibri" w:eastAsia="Times New Roman" w:hAnsi="Calibri" w:cs="Calibri"/>
                <w:color w:val="000000"/>
                <w:sz w:val="16"/>
                <w:szCs w:val="16"/>
                <w:lang w:eastAsia="cs-CZ"/>
              </w:rPr>
              <w:t xml:space="preserve">řešením </w:t>
            </w:r>
            <w:proofErr w:type="spellStart"/>
            <w:r w:rsidRPr="00087C05">
              <w:rPr>
                <w:rFonts w:ascii="Calibri" w:eastAsia="Times New Roman" w:hAnsi="Calibri" w:cs="Calibri"/>
                <w:color w:val="000000"/>
                <w:sz w:val="16"/>
                <w:szCs w:val="16"/>
                <w:lang w:eastAsia="cs-CZ"/>
              </w:rPr>
              <w:t>Veeam</w:t>
            </w:r>
            <w:proofErr w:type="spellEnd"/>
            <w:r>
              <w:rPr>
                <w:rFonts w:ascii="Calibri" w:eastAsia="Times New Roman" w:hAnsi="Calibri" w:cs="Calibri"/>
                <w:color w:val="000000"/>
                <w:sz w:val="16"/>
                <w:szCs w:val="16"/>
                <w:lang w:eastAsia="cs-CZ"/>
              </w:rPr>
              <w:t xml:space="preserve"> </w:t>
            </w:r>
            <w:proofErr w:type="spellStart"/>
            <w:r>
              <w:rPr>
                <w:rFonts w:ascii="Calibri" w:eastAsia="Times New Roman" w:hAnsi="Calibri" w:cs="Calibri"/>
                <w:color w:val="000000"/>
                <w:sz w:val="16"/>
                <w:szCs w:val="16"/>
                <w:lang w:eastAsia="cs-CZ"/>
              </w:rPr>
              <w:t>Backup</w:t>
            </w:r>
            <w:proofErr w:type="spellEnd"/>
            <w:r>
              <w:rPr>
                <w:rFonts w:ascii="Calibri" w:eastAsia="Times New Roman" w:hAnsi="Calibri" w:cs="Calibri"/>
                <w:color w:val="000000"/>
                <w:sz w:val="16"/>
                <w:szCs w:val="16"/>
                <w:lang w:val="en-US" w:eastAsia="cs-CZ"/>
              </w:rPr>
              <w:t>&amp;</w:t>
            </w:r>
            <w:proofErr w:type="spellStart"/>
            <w:r>
              <w:rPr>
                <w:rFonts w:ascii="Calibri" w:eastAsia="Times New Roman" w:hAnsi="Calibri" w:cs="Calibri"/>
                <w:color w:val="000000"/>
                <w:sz w:val="16"/>
                <w:szCs w:val="16"/>
                <w:lang w:eastAsia="cs-CZ"/>
              </w:rPr>
              <w:t>Replication</w:t>
            </w:r>
            <w:proofErr w:type="spellEnd"/>
          </w:p>
        </w:tc>
        <w:tc>
          <w:tcPr>
            <w:tcW w:w="2835" w:type="dxa"/>
            <w:tcBorders>
              <w:top w:val="nil"/>
              <w:left w:val="nil"/>
              <w:bottom w:val="single" w:sz="4" w:space="0" w:color="auto"/>
              <w:right w:val="single" w:sz="4" w:space="0" w:color="auto"/>
            </w:tcBorders>
            <w:shd w:val="clear" w:color="auto" w:fill="auto"/>
            <w:noWrap/>
            <w:vAlign w:val="center"/>
          </w:tcPr>
          <w:p w14:paraId="59728F22"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1AE9DFB9"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46E1CA0A"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tcPr>
          <w:p w14:paraId="28297B54"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5A6D1EC1" w14:textId="77777777" w:rsidR="00B8477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Kapacita</w:t>
            </w:r>
          </w:p>
        </w:tc>
        <w:tc>
          <w:tcPr>
            <w:tcW w:w="5809" w:type="dxa"/>
            <w:tcBorders>
              <w:top w:val="nil"/>
              <w:left w:val="nil"/>
              <w:bottom w:val="single" w:sz="4" w:space="0" w:color="auto"/>
              <w:right w:val="single" w:sz="4" w:space="0" w:color="auto"/>
            </w:tcBorders>
            <w:shd w:val="clear" w:color="auto" w:fill="auto"/>
            <w:vAlign w:val="center"/>
          </w:tcPr>
          <w:p w14:paraId="2741B8C4" w14:textId="77777777" w:rsidR="00B8477D" w:rsidRPr="00087C05" w:rsidRDefault="00B8477D" w:rsidP="00E047E6">
            <w:pPr>
              <w:spacing w:after="0"/>
              <w:rPr>
                <w:rFonts w:ascii="Calibri" w:eastAsia="Times New Roman" w:hAnsi="Calibri" w:cs="Calibri"/>
                <w:color w:val="000000"/>
                <w:sz w:val="16"/>
                <w:szCs w:val="16"/>
                <w:lang w:eastAsia="cs-CZ"/>
              </w:rPr>
            </w:pPr>
            <w:r w:rsidRPr="00087C05">
              <w:rPr>
                <w:rFonts w:ascii="Calibri" w:eastAsia="Times New Roman" w:hAnsi="Calibri" w:cs="Calibri"/>
                <w:color w:val="000000"/>
                <w:sz w:val="16"/>
                <w:szCs w:val="16"/>
                <w:lang w:eastAsia="cs-CZ"/>
              </w:rPr>
              <w:t xml:space="preserve">Nabízené zařízení musí být nabízeno s minimálně </w:t>
            </w:r>
            <w:r>
              <w:rPr>
                <w:rFonts w:ascii="Calibri" w:eastAsia="Times New Roman" w:hAnsi="Calibri" w:cs="Calibri"/>
                <w:color w:val="000000"/>
                <w:sz w:val="16"/>
                <w:szCs w:val="16"/>
                <w:lang w:eastAsia="cs-CZ"/>
              </w:rPr>
              <w:t>8</w:t>
            </w:r>
            <w:r w:rsidRPr="00087C05">
              <w:rPr>
                <w:rFonts w:ascii="Calibri" w:eastAsia="Times New Roman" w:hAnsi="Calibri" w:cs="Calibri"/>
                <w:color w:val="000000"/>
                <w:sz w:val="16"/>
                <w:szCs w:val="16"/>
                <w:lang w:eastAsia="cs-CZ"/>
              </w:rPr>
              <w:t>0 TB hrubé (</w:t>
            </w:r>
            <w:proofErr w:type="spellStart"/>
            <w:r w:rsidRPr="00087C05">
              <w:rPr>
                <w:rFonts w:ascii="Calibri" w:eastAsia="Times New Roman" w:hAnsi="Calibri" w:cs="Calibri"/>
                <w:color w:val="000000"/>
                <w:sz w:val="16"/>
                <w:szCs w:val="16"/>
                <w:lang w:eastAsia="cs-CZ"/>
              </w:rPr>
              <w:t>raw</w:t>
            </w:r>
            <w:proofErr w:type="spellEnd"/>
            <w:r w:rsidRPr="00087C05">
              <w:rPr>
                <w:rFonts w:ascii="Calibri" w:eastAsia="Times New Roman" w:hAnsi="Calibri" w:cs="Calibri"/>
                <w:color w:val="000000"/>
                <w:sz w:val="16"/>
                <w:szCs w:val="16"/>
                <w:lang w:eastAsia="cs-CZ"/>
              </w:rPr>
              <w:t xml:space="preserve">) kapacity </w:t>
            </w:r>
          </w:p>
        </w:tc>
        <w:tc>
          <w:tcPr>
            <w:tcW w:w="2835" w:type="dxa"/>
            <w:tcBorders>
              <w:top w:val="nil"/>
              <w:left w:val="nil"/>
              <w:bottom w:val="single" w:sz="4" w:space="0" w:color="auto"/>
              <w:right w:val="single" w:sz="4" w:space="0" w:color="auto"/>
            </w:tcBorders>
            <w:shd w:val="clear" w:color="auto" w:fill="auto"/>
            <w:noWrap/>
            <w:vAlign w:val="center"/>
          </w:tcPr>
          <w:p w14:paraId="1F5A0B33"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5C6C6EC1"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7995C01C"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hideMark/>
          </w:tcPr>
          <w:p w14:paraId="5F10B8FF"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1F9606E6" w14:textId="77777777" w:rsidR="00B8477D" w:rsidRPr="00B444D8"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RAID</w:t>
            </w:r>
          </w:p>
        </w:tc>
        <w:tc>
          <w:tcPr>
            <w:tcW w:w="5809" w:type="dxa"/>
            <w:tcBorders>
              <w:top w:val="nil"/>
              <w:left w:val="nil"/>
              <w:bottom w:val="single" w:sz="4" w:space="0" w:color="auto"/>
              <w:right w:val="single" w:sz="4" w:space="0" w:color="auto"/>
            </w:tcBorders>
            <w:shd w:val="clear" w:color="auto" w:fill="auto"/>
            <w:vAlign w:val="center"/>
          </w:tcPr>
          <w:p w14:paraId="59936D7C" w14:textId="77777777" w:rsidR="00B8477D" w:rsidRPr="00B444D8" w:rsidRDefault="00B8477D" w:rsidP="00E047E6">
            <w:pPr>
              <w:spacing w:after="0"/>
              <w:rPr>
                <w:rFonts w:ascii="Calibri" w:eastAsia="Times New Roman" w:hAnsi="Calibri" w:cs="Calibri"/>
                <w:color w:val="000000"/>
                <w:sz w:val="16"/>
                <w:szCs w:val="16"/>
                <w:lang w:eastAsia="cs-CZ"/>
              </w:rPr>
            </w:pPr>
            <w:r w:rsidRPr="00087C05">
              <w:rPr>
                <w:rFonts w:ascii="Calibri" w:eastAsia="Times New Roman" w:hAnsi="Calibri" w:cs="Calibri"/>
                <w:color w:val="000000"/>
                <w:sz w:val="16"/>
                <w:szCs w:val="16"/>
                <w:lang w:eastAsia="cs-CZ"/>
              </w:rPr>
              <w:t>Nabízené zařízení musí mít data chráněna na hardwarové úrovni pomocí RAID6</w:t>
            </w:r>
            <w:r>
              <w:rPr>
                <w:rFonts w:ascii="Calibri" w:eastAsia="Times New Roman" w:hAnsi="Calibri" w:cs="Calibri"/>
                <w:color w:val="000000"/>
                <w:sz w:val="16"/>
                <w:szCs w:val="16"/>
                <w:lang w:eastAsia="cs-CZ"/>
              </w:rPr>
              <w:t>.</w:t>
            </w:r>
          </w:p>
        </w:tc>
        <w:tc>
          <w:tcPr>
            <w:tcW w:w="2835" w:type="dxa"/>
            <w:tcBorders>
              <w:top w:val="nil"/>
              <w:left w:val="nil"/>
              <w:bottom w:val="single" w:sz="4" w:space="0" w:color="auto"/>
              <w:right w:val="single" w:sz="4" w:space="0" w:color="auto"/>
            </w:tcBorders>
            <w:shd w:val="clear" w:color="auto" w:fill="auto"/>
            <w:noWrap/>
            <w:vAlign w:val="center"/>
          </w:tcPr>
          <w:p w14:paraId="07DC1647"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214F484F"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6EBFE4A4"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tcPr>
          <w:p w14:paraId="00F7E1F8"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40A49ADF" w14:textId="77777777" w:rsidR="00B8477D" w:rsidRPr="004967C2" w:rsidRDefault="00B8477D" w:rsidP="00E047E6">
            <w:pPr>
              <w:spacing w:after="0"/>
              <w:rPr>
                <w:rFonts w:ascii="Calibri" w:eastAsia="Times New Roman" w:hAnsi="Calibri" w:cs="Calibri"/>
                <w:color w:val="000000"/>
                <w:sz w:val="16"/>
                <w:szCs w:val="16"/>
                <w:lang w:eastAsia="cs-CZ"/>
              </w:rPr>
            </w:pPr>
            <w:proofErr w:type="spellStart"/>
            <w:r>
              <w:rPr>
                <w:rFonts w:ascii="Calibri" w:eastAsia="Times New Roman" w:hAnsi="Calibri" w:cs="Calibri"/>
                <w:color w:val="000000"/>
                <w:sz w:val="16"/>
                <w:szCs w:val="16"/>
                <w:lang w:eastAsia="cs-CZ"/>
              </w:rPr>
              <w:t>HotSpare</w:t>
            </w:r>
            <w:proofErr w:type="spellEnd"/>
          </w:p>
        </w:tc>
        <w:tc>
          <w:tcPr>
            <w:tcW w:w="5809" w:type="dxa"/>
            <w:tcBorders>
              <w:top w:val="nil"/>
              <w:left w:val="nil"/>
              <w:bottom w:val="single" w:sz="4" w:space="0" w:color="auto"/>
              <w:right w:val="single" w:sz="4" w:space="0" w:color="auto"/>
            </w:tcBorders>
            <w:shd w:val="clear" w:color="auto" w:fill="auto"/>
            <w:vAlign w:val="center"/>
          </w:tcPr>
          <w:p w14:paraId="05D62433" w14:textId="77777777" w:rsidR="00B8477D" w:rsidRPr="00DD624D" w:rsidRDefault="00B8477D" w:rsidP="00E047E6">
            <w:pPr>
              <w:spacing w:after="0"/>
              <w:rPr>
                <w:rFonts w:ascii="Calibri" w:eastAsia="Times New Roman" w:hAnsi="Calibri" w:cs="Calibri"/>
                <w:color w:val="000000"/>
                <w:sz w:val="16"/>
                <w:szCs w:val="16"/>
                <w:lang w:eastAsia="cs-CZ"/>
              </w:rPr>
            </w:pPr>
            <w:r w:rsidRPr="00087C05">
              <w:rPr>
                <w:rFonts w:ascii="Calibri" w:eastAsia="Times New Roman" w:hAnsi="Calibri" w:cs="Calibri"/>
                <w:color w:val="000000"/>
                <w:sz w:val="16"/>
                <w:szCs w:val="16"/>
                <w:lang w:eastAsia="cs-CZ"/>
              </w:rPr>
              <w:t xml:space="preserve">Nabízené zařízení musí být vybaveno nejméně jedním </w:t>
            </w:r>
            <w:proofErr w:type="spellStart"/>
            <w:r w:rsidRPr="00087C05">
              <w:rPr>
                <w:rFonts w:ascii="Calibri" w:eastAsia="Times New Roman" w:hAnsi="Calibri" w:cs="Calibri"/>
                <w:color w:val="000000"/>
                <w:sz w:val="16"/>
                <w:szCs w:val="16"/>
                <w:lang w:eastAsia="cs-CZ"/>
              </w:rPr>
              <w:t>hotspare</w:t>
            </w:r>
            <w:proofErr w:type="spellEnd"/>
            <w:r w:rsidRPr="00087C05">
              <w:rPr>
                <w:rFonts w:ascii="Calibri" w:eastAsia="Times New Roman" w:hAnsi="Calibri" w:cs="Calibri"/>
                <w:color w:val="000000"/>
                <w:sz w:val="16"/>
                <w:szCs w:val="16"/>
                <w:lang w:eastAsia="cs-CZ"/>
              </w:rPr>
              <w:t xml:space="preserve"> diskem.</w:t>
            </w:r>
          </w:p>
        </w:tc>
        <w:tc>
          <w:tcPr>
            <w:tcW w:w="2835" w:type="dxa"/>
            <w:tcBorders>
              <w:top w:val="nil"/>
              <w:left w:val="nil"/>
              <w:bottom w:val="single" w:sz="4" w:space="0" w:color="auto"/>
              <w:right w:val="single" w:sz="4" w:space="0" w:color="auto"/>
            </w:tcBorders>
            <w:shd w:val="clear" w:color="auto" w:fill="auto"/>
            <w:noWrap/>
            <w:vAlign w:val="center"/>
          </w:tcPr>
          <w:p w14:paraId="0337668A"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7F655D79"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118B585E"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hideMark/>
          </w:tcPr>
          <w:p w14:paraId="52B357E5"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453FD0D2" w14:textId="77777777" w:rsidR="00B8477D" w:rsidRPr="00B444D8"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Disky pro operační systém</w:t>
            </w:r>
          </w:p>
        </w:tc>
        <w:tc>
          <w:tcPr>
            <w:tcW w:w="5809" w:type="dxa"/>
            <w:tcBorders>
              <w:top w:val="nil"/>
              <w:left w:val="nil"/>
              <w:bottom w:val="single" w:sz="4" w:space="0" w:color="auto"/>
              <w:right w:val="single" w:sz="4" w:space="0" w:color="auto"/>
            </w:tcBorders>
            <w:shd w:val="clear" w:color="auto" w:fill="auto"/>
            <w:vAlign w:val="center"/>
          </w:tcPr>
          <w:p w14:paraId="3C3ADFF5" w14:textId="77777777" w:rsidR="00B8477D" w:rsidRPr="00B444D8" w:rsidRDefault="00B8477D" w:rsidP="00E047E6">
            <w:pPr>
              <w:spacing w:after="0"/>
              <w:rPr>
                <w:rFonts w:ascii="Calibri" w:eastAsia="Times New Roman" w:hAnsi="Calibri" w:cs="Calibri"/>
                <w:color w:val="000000"/>
                <w:sz w:val="16"/>
                <w:szCs w:val="16"/>
                <w:lang w:eastAsia="cs-CZ"/>
              </w:rPr>
            </w:pPr>
            <w:r w:rsidRPr="00087C05">
              <w:rPr>
                <w:rFonts w:ascii="Calibri" w:eastAsia="Times New Roman" w:hAnsi="Calibri" w:cs="Calibri"/>
                <w:color w:val="000000"/>
                <w:sz w:val="16"/>
                <w:szCs w:val="16"/>
                <w:lang w:eastAsia="cs-CZ"/>
              </w:rPr>
              <w:t>Nabízené zařízení musí mít samostatné vyhrazené disky pro operační systém zařízení a nesmí být součástí kapacity na zálohování dat.</w:t>
            </w:r>
          </w:p>
        </w:tc>
        <w:tc>
          <w:tcPr>
            <w:tcW w:w="2835" w:type="dxa"/>
            <w:tcBorders>
              <w:top w:val="nil"/>
              <w:left w:val="nil"/>
              <w:bottom w:val="single" w:sz="4" w:space="0" w:color="auto"/>
              <w:right w:val="single" w:sz="4" w:space="0" w:color="auto"/>
            </w:tcBorders>
            <w:shd w:val="clear" w:color="auto" w:fill="auto"/>
            <w:noWrap/>
            <w:vAlign w:val="center"/>
          </w:tcPr>
          <w:p w14:paraId="39AE8169"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76A776F4"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6ECD6FE8"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hideMark/>
          </w:tcPr>
          <w:p w14:paraId="29C9CD04"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3DCAD524" w14:textId="77777777" w:rsidR="00B8477D" w:rsidRPr="00B444D8" w:rsidRDefault="00B8477D" w:rsidP="00E047E6">
            <w:pPr>
              <w:spacing w:after="0"/>
              <w:rPr>
                <w:rFonts w:ascii="Calibri" w:eastAsia="Times New Roman" w:hAnsi="Calibri" w:cs="Calibri"/>
                <w:color w:val="000000"/>
                <w:sz w:val="16"/>
                <w:szCs w:val="16"/>
                <w:lang w:eastAsia="cs-CZ"/>
              </w:rPr>
            </w:pPr>
            <w:proofErr w:type="spellStart"/>
            <w:r>
              <w:rPr>
                <w:rFonts w:ascii="Calibri" w:eastAsia="Times New Roman" w:hAnsi="Calibri" w:cs="Calibri"/>
                <w:color w:val="000000"/>
                <w:sz w:val="16"/>
                <w:szCs w:val="16"/>
                <w:lang w:eastAsia="cs-CZ"/>
              </w:rPr>
              <w:t>Virtual</w:t>
            </w:r>
            <w:proofErr w:type="spellEnd"/>
            <w:r>
              <w:rPr>
                <w:rFonts w:ascii="Calibri" w:eastAsia="Times New Roman" w:hAnsi="Calibri" w:cs="Calibri"/>
                <w:color w:val="000000"/>
                <w:sz w:val="16"/>
                <w:szCs w:val="16"/>
                <w:lang w:eastAsia="cs-CZ"/>
              </w:rPr>
              <w:t xml:space="preserve"> </w:t>
            </w:r>
            <w:proofErr w:type="spellStart"/>
            <w:r>
              <w:rPr>
                <w:rFonts w:ascii="Calibri" w:eastAsia="Times New Roman" w:hAnsi="Calibri" w:cs="Calibri"/>
                <w:color w:val="000000"/>
                <w:sz w:val="16"/>
                <w:szCs w:val="16"/>
                <w:lang w:eastAsia="cs-CZ"/>
              </w:rPr>
              <w:t>Tape</w:t>
            </w:r>
            <w:proofErr w:type="spellEnd"/>
            <w:r>
              <w:rPr>
                <w:rFonts w:ascii="Calibri" w:eastAsia="Times New Roman" w:hAnsi="Calibri" w:cs="Calibri"/>
                <w:color w:val="000000"/>
                <w:sz w:val="16"/>
                <w:szCs w:val="16"/>
                <w:lang w:eastAsia="cs-CZ"/>
              </w:rPr>
              <w:t xml:space="preserve"> </w:t>
            </w:r>
            <w:proofErr w:type="spellStart"/>
            <w:r>
              <w:rPr>
                <w:rFonts w:ascii="Calibri" w:eastAsia="Times New Roman" w:hAnsi="Calibri" w:cs="Calibri"/>
                <w:color w:val="000000"/>
                <w:sz w:val="16"/>
                <w:szCs w:val="16"/>
                <w:lang w:eastAsia="cs-CZ"/>
              </w:rPr>
              <w:t>Library</w:t>
            </w:r>
            <w:proofErr w:type="spellEnd"/>
          </w:p>
        </w:tc>
        <w:tc>
          <w:tcPr>
            <w:tcW w:w="5809" w:type="dxa"/>
            <w:tcBorders>
              <w:top w:val="nil"/>
              <w:left w:val="nil"/>
              <w:bottom w:val="single" w:sz="4" w:space="0" w:color="auto"/>
              <w:right w:val="single" w:sz="4" w:space="0" w:color="auto"/>
            </w:tcBorders>
            <w:shd w:val="clear" w:color="auto" w:fill="auto"/>
            <w:vAlign w:val="center"/>
          </w:tcPr>
          <w:p w14:paraId="295F92E2" w14:textId="77777777" w:rsidR="00B8477D" w:rsidRPr="00B444D8" w:rsidRDefault="00B8477D" w:rsidP="00E047E6">
            <w:pPr>
              <w:spacing w:after="0"/>
              <w:rPr>
                <w:rFonts w:ascii="Calibri" w:eastAsia="Times New Roman" w:hAnsi="Calibri" w:cs="Calibri"/>
                <w:color w:val="000000"/>
                <w:sz w:val="16"/>
                <w:szCs w:val="16"/>
                <w:lang w:eastAsia="cs-CZ"/>
              </w:rPr>
            </w:pPr>
            <w:r w:rsidRPr="00087C05">
              <w:rPr>
                <w:rFonts w:ascii="Calibri" w:eastAsia="Times New Roman" w:hAnsi="Calibri" w:cs="Calibri"/>
                <w:color w:val="000000"/>
                <w:sz w:val="16"/>
                <w:szCs w:val="16"/>
                <w:lang w:eastAsia="cs-CZ"/>
              </w:rPr>
              <w:t>Nabízené zařízení musí podporovat emulaci VTL i NAS cíle, jako je NFS a CIFS.</w:t>
            </w:r>
          </w:p>
        </w:tc>
        <w:tc>
          <w:tcPr>
            <w:tcW w:w="2835" w:type="dxa"/>
            <w:tcBorders>
              <w:top w:val="nil"/>
              <w:left w:val="nil"/>
              <w:bottom w:val="single" w:sz="4" w:space="0" w:color="auto"/>
              <w:right w:val="single" w:sz="4" w:space="0" w:color="auto"/>
            </w:tcBorders>
            <w:shd w:val="clear" w:color="auto" w:fill="auto"/>
            <w:noWrap/>
            <w:vAlign w:val="center"/>
          </w:tcPr>
          <w:p w14:paraId="5292A28B"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5E72A269"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7257CF11"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tcPr>
          <w:p w14:paraId="5A4B0859"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0B8C1BEC" w14:textId="77777777" w:rsidR="00B8477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Škálovatelnost</w:t>
            </w:r>
          </w:p>
        </w:tc>
        <w:tc>
          <w:tcPr>
            <w:tcW w:w="5809" w:type="dxa"/>
            <w:tcBorders>
              <w:top w:val="nil"/>
              <w:left w:val="nil"/>
              <w:bottom w:val="single" w:sz="4" w:space="0" w:color="auto"/>
              <w:right w:val="single" w:sz="4" w:space="0" w:color="auto"/>
            </w:tcBorders>
            <w:shd w:val="clear" w:color="auto" w:fill="auto"/>
            <w:vAlign w:val="center"/>
          </w:tcPr>
          <w:p w14:paraId="1917DB31" w14:textId="77777777" w:rsidR="00B8477D" w:rsidRPr="00087C05" w:rsidRDefault="00B8477D" w:rsidP="00E047E6">
            <w:pPr>
              <w:spacing w:after="0"/>
              <w:rPr>
                <w:rFonts w:ascii="Calibri" w:eastAsia="Times New Roman" w:hAnsi="Calibri" w:cs="Calibri"/>
                <w:color w:val="000000"/>
                <w:sz w:val="16"/>
                <w:szCs w:val="16"/>
                <w:lang w:eastAsia="cs-CZ"/>
              </w:rPr>
            </w:pPr>
            <w:r w:rsidRPr="00805686">
              <w:rPr>
                <w:rFonts w:ascii="Calibri" w:eastAsia="Times New Roman" w:hAnsi="Calibri" w:cs="Calibri"/>
                <w:color w:val="000000"/>
                <w:sz w:val="16"/>
                <w:szCs w:val="16"/>
                <w:lang w:eastAsia="cs-CZ"/>
              </w:rPr>
              <w:t>Nabízené zařízení má být rozšiřitelné na minimálně 200 TB využitelné (</w:t>
            </w:r>
            <w:proofErr w:type="spellStart"/>
            <w:r w:rsidRPr="00805686">
              <w:rPr>
                <w:rFonts w:ascii="Calibri" w:eastAsia="Times New Roman" w:hAnsi="Calibri" w:cs="Calibri"/>
                <w:color w:val="000000"/>
                <w:sz w:val="16"/>
                <w:szCs w:val="16"/>
                <w:lang w:eastAsia="cs-CZ"/>
              </w:rPr>
              <w:t>usable</w:t>
            </w:r>
            <w:proofErr w:type="spellEnd"/>
            <w:r w:rsidRPr="00805686">
              <w:rPr>
                <w:rFonts w:ascii="Calibri" w:eastAsia="Times New Roman" w:hAnsi="Calibri" w:cs="Calibri"/>
                <w:color w:val="000000"/>
                <w:sz w:val="16"/>
                <w:szCs w:val="16"/>
                <w:lang w:eastAsia="cs-CZ"/>
              </w:rPr>
              <w:t xml:space="preserve">) kapacity v nativním režimu (bez </w:t>
            </w:r>
            <w:proofErr w:type="spellStart"/>
            <w:r w:rsidRPr="00805686">
              <w:rPr>
                <w:rFonts w:ascii="Calibri" w:eastAsia="Times New Roman" w:hAnsi="Calibri" w:cs="Calibri"/>
                <w:color w:val="000000"/>
                <w:sz w:val="16"/>
                <w:szCs w:val="16"/>
                <w:lang w:eastAsia="cs-CZ"/>
              </w:rPr>
              <w:t>deduplikace</w:t>
            </w:r>
            <w:proofErr w:type="spellEnd"/>
            <w:r w:rsidRPr="00805686">
              <w:rPr>
                <w:rFonts w:ascii="Calibri" w:eastAsia="Times New Roman" w:hAnsi="Calibri" w:cs="Calibri"/>
                <w:color w:val="000000"/>
                <w:sz w:val="16"/>
                <w:szCs w:val="16"/>
                <w:lang w:eastAsia="cs-CZ"/>
              </w:rPr>
              <w:t xml:space="preserve"> a komprese) </w:t>
            </w:r>
            <w:r w:rsidRPr="00276D38">
              <w:rPr>
                <w:rFonts w:ascii="Calibri" w:eastAsia="Times New Roman" w:hAnsi="Calibri" w:cs="Calibri"/>
                <w:color w:val="000000"/>
                <w:sz w:val="16"/>
                <w:szCs w:val="16"/>
                <w:lang w:eastAsia="cs-CZ"/>
              </w:rPr>
              <w:t>a o dalších 400TB nativní využitelné kapacity s využitím úložiště v cloudu, jako je AWS, Azure nebo v objektovém úložišti.</w:t>
            </w:r>
          </w:p>
        </w:tc>
        <w:tc>
          <w:tcPr>
            <w:tcW w:w="2835" w:type="dxa"/>
            <w:tcBorders>
              <w:top w:val="nil"/>
              <w:left w:val="nil"/>
              <w:bottom w:val="single" w:sz="4" w:space="0" w:color="auto"/>
              <w:right w:val="single" w:sz="4" w:space="0" w:color="auto"/>
            </w:tcBorders>
            <w:shd w:val="clear" w:color="auto" w:fill="auto"/>
            <w:noWrap/>
            <w:vAlign w:val="center"/>
          </w:tcPr>
          <w:p w14:paraId="4340B1F4"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23F7BE9A"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0A325B32"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hideMark/>
          </w:tcPr>
          <w:p w14:paraId="2DAFB710"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490EAC44" w14:textId="77777777" w:rsidR="00B8477D" w:rsidRPr="00B444D8"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Parametry VTL</w:t>
            </w:r>
          </w:p>
        </w:tc>
        <w:tc>
          <w:tcPr>
            <w:tcW w:w="5809" w:type="dxa"/>
            <w:tcBorders>
              <w:top w:val="nil"/>
              <w:left w:val="nil"/>
              <w:bottom w:val="single" w:sz="4" w:space="0" w:color="auto"/>
              <w:right w:val="single" w:sz="4" w:space="0" w:color="auto"/>
            </w:tcBorders>
            <w:shd w:val="clear" w:color="auto" w:fill="auto"/>
            <w:vAlign w:val="center"/>
          </w:tcPr>
          <w:p w14:paraId="52F3832B" w14:textId="696505D6" w:rsidR="00B8477D" w:rsidRPr="00B444D8" w:rsidRDefault="00B8477D" w:rsidP="00E047E6">
            <w:pPr>
              <w:spacing w:after="0"/>
              <w:rPr>
                <w:rFonts w:ascii="Calibri" w:eastAsia="Times New Roman" w:hAnsi="Calibri" w:cs="Calibri"/>
                <w:color w:val="000000"/>
                <w:sz w:val="16"/>
                <w:szCs w:val="16"/>
                <w:lang w:eastAsia="cs-CZ"/>
              </w:rPr>
            </w:pPr>
            <w:r w:rsidRPr="00087C05">
              <w:rPr>
                <w:rFonts w:ascii="Calibri" w:eastAsia="Times New Roman" w:hAnsi="Calibri" w:cs="Calibri"/>
                <w:color w:val="000000"/>
                <w:sz w:val="16"/>
                <w:szCs w:val="16"/>
                <w:lang w:eastAsia="cs-CZ"/>
              </w:rPr>
              <w:t xml:space="preserve">Nabízené </w:t>
            </w:r>
            <w:r w:rsidR="00CC3711" w:rsidRPr="00087C05">
              <w:rPr>
                <w:rFonts w:ascii="Calibri" w:eastAsia="Times New Roman" w:hAnsi="Calibri" w:cs="Calibri"/>
                <w:color w:val="000000"/>
                <w:sz w:val="16"/>
                <w:szCs w:val="16"/>
                <w:lang w:eastAsia="cs-CZ"/>
              </w:rPr>
              <w:t>zařízení musí</w:t>
            </w:r>
            <w:r w:rsidRPr="00087C05">
              <w:rPr>
                <w:rFonts w:ascii="Calibri" w:eastAsia="Times New Roman" w:hAnsi="Calibri" w:cs="Calibri"/>
                <w:color w:val="000000"/>
                <w:sz w:val="16"/>
                <w:szCs w:val="16"/>
                <w:lang w:eastAsia="cs-CZ"/>
              </w:rPr>
              <w:t xml:space="preserve"> mít schopno v jednom zařízení kombinovat 64 páskových knihoven a NAS cílů spolu s minimálně 100.000 sloty pro média.</w:t>
            </w:r>
          </w:p>
        </w:tc>
        <w:tc>
          <w:tcPr>
            <w:tcW w:w="2835" w:type="dxa"/>
            <w:tcBorders>
              <w:top w:val="nil"/>
              <w:left w:val="nil"/>
              <w:bottom w:val="single" w:sz="4" w:space="0" w:color="auto"/>
              <w:right w:val="single" w:sz="4" w:space="0" w:color="auto"/>
            </w:tcBorders>
            <w:shd w:val="clear" w:color="auto" w:fill="auto"/>
            <w:noWrap/>
            <w:vAlign w:val="center"/>
          </w:tcPr>
          <w:p w14:paraId="62FBF9FC"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77B231ED"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6858585B"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tcPr>
          <w:p w14:paraId="48E137A6"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0320B4C6" w14:textId="77777777" w:rsidR="00B8477D" w:rsidRPr="00D07690"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Selektivní obnova</w:t>
            </w:r>
          </w:p>
        </w:tc>
        <w:tc>
          <w:tcPr>
            <w:tcW w:w="5809" w:type="dxa"/>
            <w:tcBorders>
              <w:top w:val="nil"/>
              <w:left w:val="nil"/>
              <w:bottom w:val="single" w:sz="4" w:space="0" w:color="auto"/>
              <w:right w:val="single" w:sz="4" w:space="0" w:color="auto"/>
            </w:tcBorders>
            <w:shd w:val="clear" w:color="auto" w:fill="auto"/>
            <w:vAlign w:val="center"/>
          </w:tcPr>
          <w:p w14:paraId="18C3BEC3" w14:textId="77777777" w:rsidR="00B8477D" w:rsidRPr="00B444D8" w:rsidRDefault="00B8477D" w:rsidP="00E047E6">
            <w:pPr>
              <w:spacing w:after="0"/>
              <w:rPr>
                <w:rFonts w:ascii="Calibri" w:eastAsia="Times New Roman" w:hAnsi="Calibri" w:cs="Calibri"/>
                <w:color w:val="000000"/>
                <w:sz w:val="16"/>
                <w:szCs w:val="16"/>
                <w:lang w:eastAsia="cs-CZ"/>
              </w:rPr>
            </w:pPr>
            <w:r w:rsidRPr="00087C05">
              <w:rPr>
                <w:rFonts w:ascii="Calibri" w:eastAsia="Times New Roman" w:hAnsi="Calibri" w:cs="Calibri"/>
                <w:color w:val="000000"/>
                <w:sz w:val="16"/>
                <w:szCs w:val="16"/>
                <w:lang w:eastAsia="cs-CZ"/>
              </w:rPr>
              <w:t>Nabízené zařízení musí být schopno provádět selektivní obnovu přímo z vlastní diskové knihovny.</w:t>
            </w:r>
          </w:p>
        </w:tc>
        <w:tc>
          <w:tcPr>
            <w:tcW w:w="2835" w:type="dxa"/>
            <w:tcBorders>
              <w:top w:val="nil"/>
              <w:left w:val="nil"/>
              <w:bottom w:val="single" w:sz="4" w:space="0" w:color="auto"/>
              <w:right w:val="single" w:sz="4" w:space="0" w:color="auto"/>
            </w:tcBorders>
            <w:shd w:val="clear" w:color="auto" w:fill="auto"/>
            <w:noWrap/>
            <w:vAlign w:val="center"/>
          </w:tcPr>
          <w:p w14:paraId="287A067A"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6C57334F"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3A299B48"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tcPr>
          <w:p w14:paraId="2042823D"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328B1635" w14:textId="77777777" w:rsidR="00B8477D" w:rsidRDefault="00B8477D" w:rsidP="00E047E6">
            <w:pPr>
              <w:spacing w:after="0"/>
              <w:rPr>
                <w:rFonts w:ascii="Calibri" w:eastAsia="Times New Roman" w:hAnsi="Calibri" w:cs="Calibri"/>
                <w:color w:val="000000"/>
                <w:sz w:val="16"/>
                <w:szCs w:val="16"/>
                <w:lang w:eastAsia="cs-CZ"/>
              </w:rPr>
            </w:pPr>
            <w:proofErr w:type="spellStart"/>
            <w:r>
              <w:rPr>
                <w:rFonts w:ascii="Calibri" w:eastAsia="Times New Roman" w:hAnsi="Calibri" w:cs="Calibri"/>
                <w:color w:val="000000"/>
                <w:sz w:val="16"/>
                <w:szCs w:val="16"/>
                <w:lang w:eastAsia="cs-CZ"/>
              </w:rPr>
              <w:t>Deduplikace</w:t>
            </w:r>
            <w:proofErr w:type="spellEnd"/>
          </w:p>
        </w:tc>
        <w:tc>
          <w:tcPr>
            <w:tcW w:w="5809" w:type="dxa"/>
            <w:tcBorders>
              <w:top w:val="nil"/>
              <w:left w:val="nil"/>
              <w:bottom w:val="single" w:sz="4" w:space="0" w:color="auto"/>
              <w:right w:val="single" w:sz="4" w:space="0" w:color="auto"/>
            </w:tcBorders>
            <w:shd w:val="clear" w:color="auto" w:fill="auto"/>
            <w:vAlign w:val="center"/>
          </w:tcPr>
          <w:p w14:paraId="1CDFC400" w14:textId="1851946C" w:rsidR="00B8477D" w:rsidRPr="00BB5BD5" w:rsidRDefault="00B8477D" w:rsidP="00E047E6">
            <w:pPr>
              <w:spacing w:after="0"/>
              <w:rPr>
                <w:rFonts w:ascii="Calibri" w:eastAsia="Times New Roman" w:hAnsi="Calibri" w:cs="Calibri"/>
                <w:color w:val="000000"/>
                <w:sz w:val="16"/>
                <w:szCs w:val="16"/>
                <w:lang w:eastAsia="cs-CZ"/>
              </w:rPr>
            </w:pPr>
            <w:r w:rsidRPr="00087C05">
              <w:rPr>
                <w:rFonts w:ascii="Calibri" w:eastAsia="Times New Roman" w:hAnsi="Calibri" w:cs="Calibri"/>
                <w:color w:val="000000"/>
                <w:sz w:val="16"/>
                <w:szCs w:val="16"/>
                <w:lang w:eastAsia="cs-CZ"/>
              </w:rPr>
              <w:t xml:space="preserve">Nabízené zařízení musí mít integrovanou licenci pro </w:t>
            </w:r>
            <w:proofErr w:type="spellStart"/>
            <w:r w:rsidRPr="00087C05">
              <w:rPr>
                <w:rFonts w:ascii="Calibri" w:eastAsia="Times New Roman" w:hAnsi="Calibri" w:cs="Calibri"/>
                <w:color w:val="000000"/>
                <w:sz w:val="16"/>
                <w:szCs w:val="16"/>
                <w:lang w:eastAsia="cs-CZ"/>
              </w:rPr>
              <w:t>deduplikaci</w:t>
            </w:r>
            <w:proofErr w:type="spellEnd"/>
            <w:r w:rsidRPr="00087C05">
              <w:rPr>
                <w:rFonts w:ascii="Calibri" w:eastAsia="Times New Roman" w:hAnsi="Calibri" w:cs="Calibri"/>
                <w:color w:val="000000"/>
                <w:sz w:val="16"/>
                <w:szCs w:val="16"/>
                <w:lang w:eastAsia="cs-CZ"/>
              </w:rPr>
              <w:t>, licenci pro replikaci s malou šířkou pásma (</w:t>
            </w:r>
            <w:proofErr w:type="spellStart"/>
            <w:r w:rsidRPr="00087C05">
              <w:rPr>
                <w:rFonts w:ascii="Calibri" w:eastAsia="Times New Roman" w:hAnsi="Calibri" w:cs="Calibri"/>
                <w:color w:val="000000"/>
                <w:sz w:val="16"/>
                <w:szCs w:val="16"/>
                <w:lang w:eastAsia="cs-CZ"/>
              </w:rPr>
              <w:t>low</w:t>
            </w:r>
            <w:proofErr w:type="spellEnd"/>
            <w:r w:rsidRPr="00087C05">
              <w:rPr>
                <w:rFonts w:ascii="Calibri" w:eastAsia="Times New Roman" w:hAnsi="Calibri" w:cs="Calibri"/>
                <w:color w:val="000000"/>
                <w:sz w:val="16"/>
                <w:szCs w:val="16"/>
                <w:lang w:eastAsia="cs-CZ"/>
              </w:rPr>
              <w:t xml:space="preserve"> </w:t>
            </w:r>
            <w:proofErr w:type="spellStart"/>
            <w:r w:rsidRPr="00087C05">
              <w:rPr>
                <w:rFonts w:ascii="Calibri" w:eastAsia="Times New Roman" w:hAnsi="Calibri" w:cs="Calibri"/>
                <w:color w:val="000000"/>
                <w:sz w:val="16"/>
                <w:szCs w:val="16"/>
                <w:lang w:eastAsia="cs-CZ"/>
              </w:rPr>
              <w:t>bandwidth</w:t>
            </w:r>
            <w:proofErr w:type="spellEnd"/>
            <w:r w:rsidRPr="00087C05">
              <w:rPr>
                <w:rFonts w:ascii="Calibri" w:eastAsia="Times New Roman" w:hAnsi="Calibri" w:cs="Calibri"/>
                <w:color w:val="000000"/>
                <w:sz w:val="16"/>
                <w:szCs w:val="16"/>
                <w:lang w:eastAsia="cs-CZ"/>
              </w:rPr>
              <w:t>) tak, aby do DR lokality byly přenášeny pouze jedinečné neduplikované datové bloky.</w:t>
            </w:r>
          </w:p>
        </w:tc>
        <w:tc>
          <w:tcPr>
            <w:tcW w:w="2835" w:type="dxa"/>
            <w:tcBorders>
              <w:top w:val="nil"/>
              <w:left w:val="nil"/>
              <w:bottom w:val="single" w:sz="4" w:space="0" w:color="auto"/>
              <w:right w:val="single" w:sz="4" w:space="0" w:color="auto"/>
            </w:tcBorders>
            <w:shd w:val="clear" w:color="auto" w:fill="auto"/>
            <w:noWrap/>
            <w:vAlign w:val="center"/>
          </w:tcPr>
          <w:p w14:paraId="4F6EF82F"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6F340826"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5CB5DEF5"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7"/>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hideMark/>
          </w:tcPr>
          <w:p w14:paraId="6936EE33"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7B5CFA95" w14:textId="77777777" w:rsidR="00B8477D" w:rsidRPr="00B444D8"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Práce s </w:t>
            </w:r>
            <w:proofErr w:type="spellStart"/>
            <w:r>
              <w:rPr>
                <w:rFonts w:ascii="Calibri" w:eastAsia="Times New Roman" w:hAnsi="Calibri" w:cs="Calibri"/>
                <w:color w:val="000000"/>
                <w:sz w:val="16"/>
                <w:szCs w:val="16"/>
                <w:lang w:eastAsia="cs-CZ"/>
              </w:rPr>
              <w:t>deduplikací</w:t>
            </w:r>
            <w:proofErr w:type="spellEnd"/>
            <w:r>
              <w:rPr>
                <w:rFonts w:ascii="Calibri" w:eastAsia="Times New Roman" w:hAnsi="Calibri" w:cs="Calibri"/>
                <w:color w:val="000000"/>
                <w:sz w:val="16"/>
                <w:szCs w:val="16"/>
                <w:lang w:eastAsia="cs-CZ"/>
              </w:rPr>
              <w:t xml:space="preserve"> dat</w:t>
            </w:r>
          </w:p>
        </w:tc>
        <w:tc>
          <w:tcPr>
            <w:tcW w:w="5809" w:type="dxa"/>
            <w:tcBorders>
              <w:top w:val="nil"/>
              <w:left w:val="nil"/>
              <w:bottom w:val="single" w:sz="4" w:space="0" w:color="auto"/>
              <w:right w:val="single" w:sz="4" w:space="0" w:color="auto"/>
            </w:tcBorders>
            <w:shd w:val="clear" w:color="auto" w:fill="auto"/>
            <w:vAlign w:val="center"/>
          </w:tcPr>
          <w:p w14:paraId="39062116" w14:textId="77777777" w:rsidR="00B8477D" w:rsidRPr="00162D35" w:rsidRDefault="00B8477D" w:rsidP="00E047E6">
            <w:pPr>
              <w:spacing w:after="0"/>
              <w:rPr>
                <w:rFonts w:ascii="Calibri" w:eastAsia="Times New Roman" w:hAnsi="Calibri" w:cs="Calibri"/>
                <w:color w:val="000000"/>
                <w:sz w:val="16"/>
                <w:szCs w:val="16"/>
                <w:lang w:eastAsia="cs-CZ"/>
              </w:rPr>
            </w:pPr>
            <w:r w:rsidRPr="006D42BD">
              <w:rPr>
                <w:rFonts w:ascii="Calibri" w:eastAsia="Times New Roman" w:hAnsi="Calibri" w:cs="Calibri"/>
                <w:color w:val="000000"/>
                <w:sz w:val="16"/>
                <w:szCs w:val="16"/>
                <w:lang w:eastAsia="cs-CZ"/>
              </w:rPr>
              <w:t xml:space="preserve">Nabízené zařízení musí být schopno pracovat s </w:t>
            </w:r>
            <w:proofErr w:type="spellStart"/>
            <w:r w:rsidRPr="006D42BD">
              <w:rPr>
                <w:rFonts w:ascii="Calibri" w:eastAsia="Times New Roman" w:hAnsi="Calibri" w:cs="Calibri"/>
                <w:color w:val="000000"/>
                <w:sz w:val="16"/>
                <w:szCs w:val="16"/>
                <w:lang w:eastAsia="cs-CZ"/>
              </w:rPr>
              <w:t>deduplikací</w:t>
            </w:r>
            <w:proofErr w:type="spellEnd"/>
            <w:r w:rsidRPr="006D42BD">
              <w:rPr>
                <w:rFonts w:ascii="Calibri" w:eastAsia="Times New Roman" w:hAnsi="Calibri" w:cs="Calibri"/>
                <w:color w:val="000000"/>
                <w:sz w:val="16"/>
                <w:szCs w:val="16"/>
                <w:lang w:eastAsia="cs-CZ"/>
              </w:rPr>
              <w:t xml:space="preserve"> dat založené na zdroji (source </w:t>
            </w:r>
            <w:proofErr w:type="spellStart"/>
            <w:r w:rsidRPr="006D42BD">
              <w:rPr>
                <w:rFonts w:ascii="Calibri" w:eastAsia="Times New Roman" w:hAnsi="Calibri" w:cs="Calibri"/>
                <w:color w:val="000000"/>
                <w:sz w:val="16"/>
                <w:szCs w:val="16"/>
                <w:lang w:eastAsia="cs-CZ"/>
              </w:rPr>
              <w:t>based</w:t>
            </w:r>
            <w:proofErr w:type="spellEnd"/>
            <w:r w:rsidRPr="006D42BD">
              <w:rPr>
                <w:rFonts w:ascii="Calibri" w:eastAsia="Times New Roman" w:hAnsi="Calibri" w:cs="Calibri"/>
                <w:color w:val="000000"/>
                <w:sz w:val="16"/>
                <w:szCs w:val="16"/>
                <w:lang w:eastAsia="cs-CZ"/>
              </w:rPr>
              <w:t>) i na cíli (</w:t>
            </w:r>
            <w:proofErr w:type="spellStart"/>
            <w:r w:rsidRPr="006D42BD">
              <w:rPr>
                <w:rFonts w:ascii="Calibri" w:eastAsia="Times New Roman" w:hAnsi="Calibri" w:cs="Calibri"/>
                <w:color w:val="000000"/>
                <w:sz w:val="16"/>
                <w:szCs w:val="16"/>
                <w:lang w:eastAsia="cs-CZ"/>
              </w:rPr>
              <w:t>target</w:t>
            </w:r>
            <w:proofErr w:type="spellEnd"/>
            <w:r w:rsidRPr="006D42BD">
              <w:rPr>
                <w:rFonts w:ascii="Calibri" w:eastAsia="Times New Roman" w:hAnsi="Calibri" w:cs="Calibri"/>
                <w:color w:val="000000"/>
                <w:sz w:val="16"/>
                <w:szCs w:val="16"/>
                <w:lang w:eastAsia="cs-CZ"/>
              </w:rPr>
              <w:t xml:space="preserve"> </w:t>
            </w:r>
            <w:proofErr w:type="spellStart"/>
            <w:r w:rsidRPr="006D42BD">
              <w:rPr>
                <w:rFonts w:ascii="Calibri" w:eastAsia="Times New Roman" w:hAnsi="Calibri" w:cs="Calibri"/>
                <w:color w:val="000000"/>
                <w:sz w:val="16"/>
                <w:szCs w:val="16"/>
                <w:lang w:eastAsia="cs-CZ"/>
              </w:rPr>
              <w:t>based</w:t>
            </w:r>
            <w:proofErr w:type="spellEnd"/>
            <w:r w:rsidRPr="006D42BD">
              <w:rPr>
                <w:rFonts w:ascii="Calibri" w:eastAsia="Times New Roman" w:hAnsi="Calibri" w:cs="Calibri"/>
                <w:color w:val="000000"/>
                <w:sz w:val="16"/>
                <w:szCs w:val="16"/>
                <w:lang w:eastAsia="cs-CZ"/>
              </w:rPr>
              <w:t xml:space="preserve">), a musí být integrována se všemi běžnými výrobci </w:t>
            </w:r>
            <w:proofErr w:type="spellStart"/>
            <w:r w:rsidRPr="006D42BD">
              <w:rPr>
                <w:rFonts w:ascii="Calibri" w:eastAsia="Times New Roman" w:hAnsi="Calibri" w:cs="Calibri"/>
                <w:color w:val="000000"/>
                <w:sz w:val="16"/>
                <w:szCs w:val="16"/>
                <w:lang w:eastAsia="cs-CZ"/>
              </w:rPr>
              <w:t>backup</w:t>
            </w:r>
            <w:proofErr w:type="spellEnd"/>
            <w:r w:rsidRPr="006D42BD">
              <w:rPr>
                <w:rFonts w:ascii="Calibri" w:eastAsia="Times New Roman" w:hAnsi="Calibri" w:cs="Calibri"/>
                <w:color w:val="000000"/>
                <w:sz w:val="16"/>
                <w:szCs w:val="16"/>
                <w:lang w:eastAsia="cs-CZ"/>
              </w:rPr>
              <w:t xml:space="preserve"> softwaru.</w:t>
            </w:r>
          </w:p>
        </w:tc>
        <w:tc>
          <w:tcPr>
            <w:tcW w:w="2835" w:type="dxa"/>
            <w:tcBorders>
              <w:top w:val="nil"/>
              <w:left w:val="nil"/>
              <w:bottom w:val="single" w:sz="4" w:space="0" w:color="auto"/>
              <w:right w:val="single" w:sz="4" w:space="0" w:color="auto"/>
            </w:tcBorders>
            <w:shd w:val="clear" w:color="auto" w:fill="auto"/>
            <w:noWrap/>
            <w:vAlign w:val="center"/>
          </w:tcPr>
          <w:p w14:paraId="3B3025AE"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41225223"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8E78CA" w14:paraId="498B80B3"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37"/>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tcPr>
          <w:p w14:paraId="48373977"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09A4699E" w14:textId="77777777" w:rsidR="00B8477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Emulace páskové jednotky</w:t>
            </w:r>
          </w:p>
        </w:tc>
        <w:tc>
          <w:tcPr>
            <w:tcW w:w="5809" w:type="dxa"/>
            <w:tcBorders>
              <w:top w:val="nil"/>
              <w:left w:val="nil"/>
              <w:bottom w:val="single" w:sz="4" w:space="0" w:color="auto"/>
              <w:right w:val="single" w:sz="4" w:space="0" w:color="auto"/>
            </w:tcBorders>
            <w:shd w:val="clear" w:color="auto" w:fill="auto"/>
            <w:vAlign w:val="center"/>
          </w:tcPr>
          <w:p w14:paraId="03748EA5" w14:textId="77777777" w:rsidR="00B8477D" w:rsidRDefault="00B8477D" w:rsidP="00E047E6">
            <w:pPr>
              <w:spacing w:after="0"/>
              <w:rPr>
                <w:rFonts w:ascii="Calibri" w:eastAsia="Times New Roman" w:hAnsi="Calibri" w:cs="Calibri"/>
                <w:color w:val="000000"/>
                <w:sz w:val="16"/>
                <w:szCs w:val="16"/>
                <w:lang w:eastAsia="cs-CZ"/>
              </w:rPr>
            </w:pPr>
            <w:r w:rsidRPr="006D42BD">
              <w:rPr>
                <w:rFonts w:ascii="Calibri" w:eastAsia="Times New Roman" w:hAnsi="Calibri" w:cs="Calibri"/>
                <w:color w:val="000000"/>
                <w:sz w:val="16"/>
                <w:szCs w:val="16"/>
                <w:lang w:eastAsia="cs-CZ"/>
              </w:rPr>
              <w:t>Schopnost flexibilně emulovat páskové jednotky/formáty LTO-5, LTO-6 a LTO-7 atd.</w:t>
            </w:r>
          </w:p>
        </w:tc>
        <w:tc>
          <w:tcPr>
            <w:tcW w:w="2835" w:type="dxa"/>
            <w:tcBorders>
              <w:top w:val="nil"/>
              <w:left w:val="nil"/>
              <w:bottom w:val="single" w:sz="4" w:space="0" w:color="auto"/>
              <w:right w:val="single" w:sz="4" w:space="0" w:color="auto"/>
            </w:tcBorders>
            <w:shd w:val="clear" w:color="auto" w:fill="auto"/>
            <w:noWrap/>
            <w:vAlign w:val="center"/>
          </w:tcPr>
          <w:p w14:paraId="299104EB"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3B766EF5" w14:textId="77777777" w:rsidR="00B8477D" w:rsidRPr="008E78CA" w:rsidRDefault="00B8477D" w:rsidP="00E047E6">
            <w:pPr>
              <w:spacing w:after="0"/>
              <w:rPr>
                <w:rFonts w:ascii="Calibri" w:eastAsia="Times New Roman" w:hAnsi="Calibri" w:cs="Calibri"/>
                <w:b/>
                <w:bCs/>
                <w:color w:val="000000"/>
                <w:sz w:val="16"/>
                <w:szCs w:val="16"/>
                <w:lang w:eastAsia="cs-CZ"/>
              </w:rPr>
            </w:pPr>
          </w:p>
        </w:tc>
      </w:tr>
      <w:tr w:rsidR="00B8477D" w:rsidRPr="00B444D8" w14:paraId="7998068B"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hideMark/>
          </w:tcPr>
          <w:p w14:paraId="07D528C0"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1788F970" w14:textId="77777777" w:rsidR="00B8477D" w:rsidRPr="0090540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LAN</w:t>
            </w:r>
          </w:p>
        </w:tc>
        <w:tc>
          <w:tcPr>
            <w:tcW w:w="5809" w:type="dxa"/>
            <w:tcBorders>
              <w:top w:val="nil"/>
              <w:left w:val="nil"/>
              <w:bottom w:val="single" w:sz="4" w:space="0" w:color="auto"/>
              <w:right w:val="single" w:sz="4" w:space="0" w:color="auto"/>
            </w:tcBorders>
            <w:shd w:val="clear" w:color="auto" w:fill="auto"/>
          </w:tcPr>
          <w:p w14:paraId="7CD5ED30" w14:textId="541707A5" w:rsidR="00B8477D" w:rsidRPr="00BB5BD5" w:rsidRDefault="00B8477D" w:rsidP="00E047E6">
            <w:pPr>
              <w:spacing w:after="0"/>
              <w:rPr>
                <w:rFonts w:ascii="Calibri" w:eastAsia="Times New Roman" w:hAnsi="Calibri" w:cs="Calibri"/>
                <w:color w:val="000000"/>
                <w:sz w:val="16"/>
                <w:szCs w:val="16"/>
                <w:lang w:eastAsia="cs-CZ"/>
              </w:rPr>
            </w:pPr>
            <w:r w:rsidRPr="006D42BD">
              <w:rPr>
                <w:rFonts w:ascii="Calibri" w:eastAsia="Times New Roman" w:hAnsi="Calibri" w:cs="Calibri"/>
                <w:color w:val="000000"/>
                <w:sz w:val="16"/>
                <w:szCs w:val="16"/>
                <w:lang w:eastAsia="cs-CZ"/>
              </w:rPr>
              <w:t xml:space="preserve">Nabízené zařízení musí mít minimálně 2x 10/25 </w:t>
            </w:r>
            <w:proofErr w:type="spellStart"/>
            <w:r w:rsidRPr="006D42BD">
              <w:rPr>
                <w:rFonts w:ascii="Calibri" w:eastAsia="Times New Roman" w:hAnsi="Calibri" w:cs="Calibri"/>
                <w:color w:val="000000"/>
                <w:sz w:val="16"/>
                <w:szCs w:val="16"/>
                <w:lang w:eastAsia="cs-CZ"/>
              </w:rPr>
              <w:t>Gbps</w:t>
            </w:r>
            <w:proofErr w:type="spellEnd"/>
            <w:r w:rsidRPr="006D42BD">
              <w:rPr>
                <w:rFonts w:ascii="Calibri" w:eastAsia="Times New Roman" w:hAnsi="Calibri" w:cs="Calibri"/>
                <w:color w:val="000000"/>
                <w:sz w:val="16"/>
                <w:szCs w:val="16"/>
                <w:lang w:eastAsia="cs-CZ"/>
              </w:rPr>
              <w:t xml:space="preserve"> SFP</w:t>
            </w:r>
            <w:r w:rsidR="00CC3711">
              <w:rPr>
                <w:rFonts w:ascii="Calibri" w:eastAsia="Times New Roman" w:hAnsi="Calibri" w:cs="Calibri"/>
                <w:color w:val="000000"/>
                <w:sz w:val="16"/>
                <w:szCs w:val="16"/>
                <w:lang w:eastAsia="cs-CZ"/>
              </w:rPr>
              <w:t>+</w:t>
            </w:r>
            <w:r w:rsidR="00CC3711" w:rsidRPr="006D42BD">
              <w:rPr>
                <w:rFonts w:ascii="Calibri" w:eastAsia="Times New Roman" w:hAnsi="Calibri" w:cs="Calibri"/>
                <w:color w:val="000000"/>
                <w:sz w:val="16"/>
                <w:szCs w:val="16"/>
                <w:lang w:eastAsia="cs-CZ"/>
              </w:rPr>
              <w:t xml:space="preserve"> porty</w:t>
            </w:r>
            <w:r>
              <w:rPr>
                <w:rFonts w:ascii="Calibri" w:eastAsia="Times New Roman" w:hAnsi="Calibri" w:cs="Calibri"/>
                <w:color w:val="000000"/>
                <w:sz w:val="16"/>
                <w:szCs w:val="16"/>
                <w:lang w:eastAsia="cs-CZ"/>
              </w:rPr>
              <w:t>.</w:t>
            </w:r>
          </w:p>
        </w:tc>
        <w:tc>
          <w:tcPr>
            <w:tcW w:w="2835" w:type="dxa"/>
            <w:tcBorders>
              <w:top w:val="nil"/>
              <w:left w:val="nil"/>
              <w:bottom w:val="single" w:sz="4" w:space="0" w:color="auto"/>
              <w:right w:val="single" w:sz="4" w:space="0" w:color="auto"/>
            </w:tcBorders>
            <w:shd w:val="clear" w:color="auto" w:fill="auto"/>
            <w:noWrap/>
            <w:vAlign w:val="center"/>
          </w:tcPr>
          <w:p w14:paraId="35F950C9"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389CFCB9"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25461527"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tcPr>
          <w:p w14:paraId="583FEB52"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27338720" w14:textId="77777777" w:rsidR="00B8477D" w:rsidRPr="0090540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Šifrování</w:t>
            </w:r>
          </w:p>
        </w:tc>
        <w:tc>
          <w:tcPr>
            <w:tcW w:w="5809" w:type="dxa"/>
            <w:tcBorders>
              <w:top w:val="nil"/>
              <w:left w:val="nil"/>
              <w:bottom w:val="single" w:sz="4" w:space="0" w:color="auto"/>
              <w:right w:val="single" w:sz="4" w:space="0" w:color="auto"/>
            </w:tcBorders>
            <w:shd w:val="clear" w:color="auto" w:fill="auto"/>
          </w:tcPr>
          <w:p w14:paraId="7ED3A466" w14:textId="128D1EA2" w:rsidR="00B8477D" w:rsidRPr="00BB5BD5" w:rsidRDefault="00B8477D" w:rsidP="00E047E6">
            <w:pPr>
              <w:spacing w:after="0"/>
              <w:rPr>
                <w:rFonts w:ascii="Calibri" w:eastAsia="Times New Roman" w:hAnsi="Calibri" w:cs="Calibri"/>
                <w:color w:val="000000"/>
                <w:sz w:val="16"/>
                <w:szCs w:val="16"/>
                <w:lang w:eastAsia="cs-CZ"/>
              </w:rPr>
            </w:pPr>
            <w:r w:rsidRPr="006D42BD">
              <w:rPr>
                <w:rFonts w:ascii="Calibri" w:eastAsia="Times New Roman" w:hAnsi="Calibri" w:cs="Calibri"/>
                <w:color w:val="000000"/>
                <w:sz w:val="16"/>
                <w:szCs w:val="16"/>
                <w:lang w:eastAsia="cs-CZ"/>
              </w:rPr>
              <w:t>Nabízené diskové zálohovací zařízení musí podporovat funkci šifrování.</w:t>
            </w:r>
          </w:p>
        </w:tc>
        <w:tc>
          <w:tcPr>
            <w:tcW w:w="2835" w:type="dxa"/>
            <w:tcBorders>
              <w:top w:val="nil"/>
              <w:left w:val="nil"/>
              <w:bottom w:val="single" w:sz="4" w:space="0" w:color="auto"/>
              <w:right w:val="single" w:sz="4" w:space="0" w:color="auto"/>
            </w:tcBorders>
            <w:shd w:val="clear" w:color="auto" w:fill="auto"/>
            <w:noWrap/>
            <w:vAlign w:val="center"/>
          </w:tcPr>
          <w:p w14:paraId="1856CBBA"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54D25CFC"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77733B3C"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tcPr>
          <w:p w14:paraId="0CA63856"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5FCBF370" w14:textId="77777777" w:rsidR="00B8477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Z</w:t>
            </w:r>
            <w:r w:rsidRPr="006D42BD">
              <w:rPr>
                <w:rFonts w:ascii="Calibri" w:eastAsia="Times New Roman" w:hAnsi="Calibri" w:cs="Calibri"/>
                <w:color w:val="000000"/>
                <w:sz w:val="16"/>
                <w:szCs w:val="16"/>
                <w:lang w:eastAsia="cs-CZ"/>
              </w:rPr>
              <w:t>abránění neautorizovaným operacím</w:t>
            </w:r>
          </w:p>
        </w:tc>
        <w:tc>
          <w:tcPr>
            <w:tcW w:w="5809" w:type="dxa"/>
            <w:tcBorders>
              <w:top w:val="nil"/>
              <w:left w:val="nil"/>
              <w:bottom w:val="single" w:sz="4" w:space="0" w:color="auto"/>
              <w:right w:val="single" w:sz="4" w:space="0" w:color="auto"/>
            </w:tcBorders>
            <w:shd w:val="clear" w:color="auto" w:fill="auto"/>
          </w:tcPr>
          <w:p w14:paraId="2E46F25F" w14:textId="4ADCF096" w:rsidR="00B8477D" w:rsidRPr="00FB4EB0" w:rsidRDefault="00B8477D" w:rsidP="00E047E6">
            <w:pPr>
              <w:spacing w:after="0"/>
              <w:rPr>
                <w:rFonts w:ascii="Calibri" w:eastAsia="Times New Roman" w:hAnsi="Calibri" w:cs="Calibri"/>
                <w:color w:val="000000"/>
                <w:sz w:val="16"/>
                <w:szCs w:val="16"/>
                <w:highlight w:val="yellow"/>
                <w:lang w:eastAsia="cs-CZ"/>
              </w:rPr>
            </w:pPr>
            <w:r w:rsidRPr="006D42BD">
              <w:rPr>
                <w:rFonts w:ascii="Calibri" w:eastAsia="Times New Roman" w:hAnsi="Calibri" w:cs="Calibri"/>
                <w:color w:val="000000"/>
                <w:sz w:val="16"/>
                <w:szCs w:val="16"/>
                <w:lang w:eastAsia="cs-CZ"/>
              </w:rPr>
              <w:t>Nabízené diskové zálohovací zařízení musí podporovat dvojitou autorizaci pro zabránění neautorizovaným operacím, které znemožní útočníkovi provést nebo dokončit všechny kritické operace, jako je vymazání úložiště záloh, změna systémového času atd.</w:t>
            </w:r>
          </w:p>
        </w:tc>
        <w:tc>
          <w:tcPr>
            <w:tcW w:w="2835" w:type="dxa"/>
            <w:tcBorders>
              <w:top w:val="nil"/>
              <w:left w:val="nil"/>
              <w:bottom w:val="single" w:sz="4" w:space="0" w:color="auto"/>
              <w:right w:val="single" w:sz="4" w:space="0" w:color="auto"/>
            </w:tcBorders>
            <w:shd w:val="clear" w:color="auto" w:fill="auto"/>
            <w:noWrap/>
            <w:vAlign w:val="center"/>
          </w:tcPr>
          <w:p w14:paraId="72CCE274"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391861F8"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ED7AD4" w14:paraId="2E1D1275"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tcPr>
          <w:p w14:paraId="1AB46C54"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16AC8BFD" w14:textId="77777777" w:rsidR="00B8477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Dvojitá autorizace</w:t>
            </w:r>
          </w:p>
        </w:tc>
        <w:tc>
          <w:tcPr>
            <w:tcW w:w="5809" w:type="dxa"/>
            <w:tcBorders>
              <w:top w:val="nil"/>
              <w:left w:val="nil"/>
              <w:bottom w:val="single" w:sz="4" w:space="0" w:color="auto"/>
              <w:right w:val="single" w:sz="4" w:space="0" w:color="auto"/>
            </w:tcBorders>
            <w:shd w:val="clear" w:color="auto" w:fill="auto"/>
          </w:tcPr>
          <w:p w14:paraId="74832899" w14:textId="77777777" w:rsidR="00B8477D" w:rsidRPr="00F727FF" w:rsidRDefault="00B8477D" w:rsidP="00E047E6">
            <w:pPr>
              <w:spacing w:after="0"/>
              <w:rPr>
                <w:rFonts w:ascii="Calibri" w:eastAsia="Times New Roman" w:hAnsi="Calibri" w:cs="Calibri"/>
                <w:b/>
                <w:bCs/>
                <w:color w:val="000000"/>
                <w:sz w:val="16"/>
                <w:szCs w:val="16"/>
                <w:highlight w:val="yellow"/>
                <w:lang w:eastAsia="cs-CZ"/>
              </w:rPr>
            </w:pPr>
            <w:r w:rsidRPr="00D67AD9">
              <w:rPr>
                <w:rFonts w:ascii="Calibri" w:eastAsia="Times New Roman" w:hAnsi="Calibri" w:cs="Calibri"/>
                <w:color w:val="000000"/>
                <w:sz w:val="16"/>
                <w:szCs w:val="16"/>
                <w:lang w:eastAsia="cs-CZ"/>
              </w:rPr>
              <w:t>Dvojí autorizace musí být schválena dvěma samostatnými účty nebo subjekty namísto jednoho odpovědného účtu / subjektu, aby bylo možné účinně zabránit všem škodlivým akcím, jako jsou útoky ransomware.</w:t>
            </w:r>
          </w:p>
        </w:tc>
        <w:tc>
          <w:tcPr>
            <w:tcW w:w="2835" w:type="dxa"/>
            <w:tcBorders>
              <w:top w:val="nil"/>
              <w:left w:val="nil"/>
              <w:bottom w:val="single" w:sz="4" w:space="0" w:color="auto"/>
              <w:right w:val="single" w:sz="4" w:space="0" w:color="auto"/>
            </w:tcBorders>
            <w:shd w:val="clear" w:color="auto" w:fill="auto"/>
            <w:noWrap/>
            <w:vAlign w:val="center"/>
          </w:tcPr>
          <w:p w14:paraId="66B95E8E"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706D59DB" w14:textId="77777777" w:rsidR="00B8477D" w:rsidRPr="00ED7AD4" w:rsidRDefault="00B8477D" w:rsidP="00E047E6">
            <w:pPr>
              <w:spacing w:after="0"/>
              <w:rPr>
                <w:rFonts w:ascii="Calibri" w:eastAsia="Times New Roman" w:hAnsi="Calibri" w:cs="Calibri"/>
                <w:b/>
                <w:bCs/>
                <w:color w:val="000000"/>
                <w:sz w:val="16"/>
                <w:szCs w:val="16"/>
                <w:lang w:eastAsia="cs-CZ"/>
              </w:rPr>
            </w:pPr>
          </w:p>
        </w:tc>
      </w:tr>
      <w:tr w:rsidR="00B8477D" w:rsidRPr="00B444D8" w14:paraId="1881D782"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tcPr>
          <w:p w14:paraId="2C59DB8F"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0E48DA9D" w14:textId="77777777" w:rsidR="00B8477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Nezávislost duální autorizace</w:t>
            </w:r>
          </w:p>
        </w:tc>
        <w:tc>
          <w:tcPr>
            <w:tcW w:w="5809" w:type="dxa"/>
            <w:tcBorders>
              <w:top w:val="nil"/>
              <w:left w:val="nil"/>
              <w:bottom w:val="single" w:sz="4" w:space="0" w:color="auto"/>
              <w:right w:val="single" w:sz="4" w:space="0" w:color="auto"/>
            </w:tcBorders>
            <w:shd w:val="clear" w:color="auto" w:fill="auto"/>
          </w:tcPr>
          <w:p w14:paraId="1BF76E76" w14:textId="77777777" w:rsidR="00B8477D" w:rsidRDefault="00B8477D" w:rsidP="00E047E6">
            <w:pPr>
              <w:spacing w:after="0"/>
              <w:rPr>
                <w:rFonts w:ascii="Calibri" w:eastAsia="Times New Roman" w:hAnsi="Calibri" w:cs="Calibri"/>
                <w:color w:val="000000"/>
                <w:sz w:val="16"/>
                <w:szCs w:val="16"/>
                <w:lang w:eastAsia="cs-CZ"/>
              </w:rPr>
            </w:pPr>
            <w:r w:rsidRPr="006D42BD">
              <w:rPr>
                <w:rFonts w:ascii="Calibri" w:eastAsia="Times New Roman" w:hAnsi="Calibri" w:cs="Calibri"/>
                <w:color w:val="000000"/>
                <w:sz w:val="16"/>
                <w:szCs w:val="16"/>
                <w:lang w:eastAsia="cs-CZ"/>
              </w:rPr>
              <w:t>Duální autorizace musí být nezávislá na použití a výrobci zálohovacího software v daném prostředí.</w:t>
            </w:r>
          </w:p>
        </w:tc>
        <w:tc>
          <w:tcPr>
            <w:tcW w:w="2835" w:type="dxa"/>
            <w:tcBorders>
              <w:top w:val="nil"/>
              <w:left w:val="nil"/>
              <w:bottom w:val="single" w:sz="4" w:space="0" w:color="auto"/>
              <w:right w:val="single" w:sz="4" w:space="0" w:color="auto"/>
            </w:tcBorders>
            <w:shd w:val="clear" w:color="auto" w:fill="auto"/>
            <w:noWrap/>
            <w:vAlign w:val="center"/>
          </w:tcPr>
          <w:p w14:paraId="7E556BE5"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2E1937E3"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14A49D29"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tcPr>
          <w:p w14:paraId="48355A1D"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41CED3BE" w14:textId="77777777" w:rsidR="00B8477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Bezpečné mazání</w:t>
            </w:r>
          </w:p>
        </w:tc>
        <w:tc>
          <w:tcPr>
            <w:tcW w:w="5809" w:type="dxa"/>
            <w:tcBorders>
              <w:top w:val="nil"/>
              <w:left w:val="nil"/>
              <w:bottom w:val="single" w:sz="4" w:space="0" w:color="auto"/>
              <w:right w:val="single" w:sz="4" w:space="0" w:color="auto"/>
            </w:tcBorders>
            <w:shd w:val="clear" w:color="auto" w:fill="auto"/>
          </w:tcPr>
          <w:p w14:paraId="369DE542" w14:textId="77777777" w:rsidR="00B8477D" w:rsidRPr="00BB5BD5" w:rsidRDefault="00B8477D" w:rsidP="00E047E6">
            <w:pPr>
              <w:spacing w:after="0"/>
              <w:rPr>
                <w:rFonts w:ascii="Calibri" w:eastAsia="Times New Roman" w:hAnsi="Calibri" w:cs="Calibri"/>
                <w:color w:val="000000"/>
                <w:sz w:val="16"/>
                <w:szCs w:val="16"/>
                <w:lang w:eastAsia="cs-CZ"/>
              </w:rPr>
            </w:pPr>
            <w:r w:rsidRPr="006D42BD">
              <w:rPr>
                <w:rFonts w:ascii="Calibri" w:eastAsia="Times New Roman" w:hAnsi="Calibri" w:cs="Calibri"/>
                <w:color w:val="000000"/>
                <w:sz w:val="16"/>
                <w:szCs w:val="16"/>
                <w:lang w:eastAsia="cs-CZ"/>
              </w:rPr>
              <w:t>Nabízené diskové zálohovací zařízení musí také podporovat funkci bezpečného mazání pro ochranu před neoprávněným obnovením smazaných dat.</w:t>
            </w:r>
          </w:p>
        </w:tc>
        <w:tc>
          <w:tcPr>
            <w:tcW w:w="2835" w:type="dxa"/>
            <w:tcBorders>
              <w:top w:val="nil"/>
              <w:left w:val="nil"/>
              <w:bottom w:val="single" w:sz="4" w:space="0" w:color="auto"/>
              <w:right w:val="single" w:sz="4" w:space="0" w:color="auto"/>
            </w:tcBorders>
            <w:shd w:val="clear" w:color="auto" w:fill="auto"/>
            <w:noWrap/>
            <w:vAlign w:val="center"/>
          </w:tcPr>
          <w:p w14:paraId="6270E885"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20952477"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77BEE6D8"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tcPr>
          <w:p w14:paraId="0A2DDCA7"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1C76B355" w14:textId="77777777" w:rsidR="00B8477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Podpora VLAN</w:t>
            </w:r>
          </w:p>
        </w:tc>
        <w:tc>
          <w:tcPr>
            <w:tcW w:w="5809" w:type="dxa"/>
            <w:tcBorders>
              <w:top w:val="nil"/>
              <w:left w:val="nil"/>
              <w:bottom w:val="single" w:sz="4" w:space="0" w:color="auto"/>
              <w:right w:val="single" w:sz="4" w:space="0" w:color="auto"/>
            </w:tcBorders>
            <w:shd w:val="clear" w:color="auto" w:fill="auto"/>
          </w:tcPr>
          <w:p w14:paraId="10CA945B" w14:textId="77777777" w:rsidR="00B8477D" w:rsidRPr="00BB5BD5" w:rsidRDefault="00B8477D" w:rsidP="00E047E6">
            <w:pPr>
              <w:spacing w:after="0"/>
              <w:rPr>
                <w:rFonts w:ascii="Calibri" w:eastAsia="Times New Roman" w:hAnsi="Calibri" w:cs="Calibri"/>
                <w:color w:val="000000"/>
                <w:sz w:val="16"/>
                <w:szCs w:val="16"/>
                <w:lang w:eastAsia="cs-CZ"/>
              </w:rPr>
            </w:pPr>
            <w:r w:rsidRPr="006D42BD">
              <w:rPr>
                <w:rFonts w:ascii="Calibri" w:eastAsia="Times New Roman" w:hAnsi="Calibri" w:cs="Calibri"/>
                <w:color w:val="000000"/>
                <w:sz w:val="16"/>
                <w:szCs w:val="16"/>
                <w:lang w:eastAsia="cs-CZ"/>
              </w:rPr>
              <w:t>Nabízené diskové zálohovací zařízení musí podporovat označování sítí VLAN. Nabízené IP porty stejného typu musí také podporovat propojení portů v adaptivním vyrovnávání zátěže i v režimu aktivního zálohování.</w:t>
            </w:r>
          </w:p>
        </w:tc>
        <w:tc>
          <w:tcPr>
            <w:tcW w:w="2835" w:type="dxa"/>
            <w:tcBorders>
              <w:top w:val="nil"/>
              <w:left w:val="nil"/>
              <w:bottom w:val="single" w:sz="4" w:space="0" w:color="auto"/>
              <w:right w:val="single" w:sz="4" w:space="0" w:color="auto"/>
            </w:tcBorders>
            <w:shd w:val="clear" w:color="auto" w:fill="auto"/>
            <w:noWrap/>
            <w:vAlign w:val="center"/>
          </w:tcPr>
          <w:p w14:paraId="46AA1DAE"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07418603"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45D5BF09"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tcPr>
          <w:p w14:paraId="71AAF0CA"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45E46D31" w14:textId="77777777" w:rsidR="00B8477D" w:rsidRPr="0090540D" w:rsidRDefault="00B8477D"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Výkon</w:t>
            </w:r>
          </w:p>
        </w:tc>
        <w:tc>
          <w:tcPr>
            <w:tcW w:w="5809" w:type="dxa"/>
            <w:tcBorders>
              <w:top w:val="nil"/>
              <w:left w:val="nil"/>
              <w:bottom w:val="single" w:sz="4" w:space="0" w:color="auto"/>
              <w:right w:val="single" w:sz="4" w:space="0" w:color="auto"/>
            </w:tcBorders>
            <w:shd w:val="clear" w:color="auto" w:fill="auto"/>
          </w:tcPr>
          <w:p w14:paraId="673DDBB9" w14:textId="77777777" w:rsidR="00B8477D" w:rsidRPr="00BB5BD5" w:rsidRDefault="00B8477D" w:rsidP="00E047E6">
            <w:pPr>
              <w:spacing w:after="0"/>
              <w:rPr>
                <w:rFonts w:ascii="Calibri" w:eastAsia="Times New Roman" w:hAnsi="Calibri" w:cs="Calibri"/>
                <w:color w:val="000000"/>
                <w:sz w:val="16"/>
                <w:szCs w:val="16"/>
                <w:lang w:eastAsia="cs-CZ"/>
              </w:rPr>
            </w:pPr>
            <w:r w:rsidRPr="006D42BD">
              <w:rPr>
                <w:rFonts w:ascii="Calibri" w:eastAsia="Times New Roman" w:hAnsi="Calibri" w:cs="Calibri"/>
                <w:color w:val="000000"/>
                <w:sz w:val="16"/>
                <w:szCs w:val="16"/>
                <w:lang w:eastAsia="cs-CZ"/>
              </w:rPr>
              <w:t>Nabízené zařízení musí podporovat jmenovitý výkon zápisu alespoň 2</w:t>
            </w:r>
            <w:r>
              <w:rPr>
                <w:rFonts w:ascii="Calibri" w:eastAsia="Times New Roman" w:hAnsi="Calibri" w:cs="Calibri"/>
                <w:color w:val="000000"/>
                <w:sz w:val="16"/>
                <w:szCs w:val="16"/>
                <w:lang w:eastAsia="cs-CZ"/>
              </w:rPr>
              <w:t>4</w:t>
            </w:r>
            <w:r w:rsidRPr="006D42BD">
              <w:rPr>
                <w:rFonts w:ascii="Calibri" w:eastAsia="Times New Roman" w:hAnsi="Calibri" w:cs="Calibri"/>
                <w:color w:val="000000"/>
                <w:sz w:val="16"/>
                <w:szCs w:val="16"/>
                <w:lang w:eastAsia="cs-CZ"/>
              </w:rPr>
              <w:t xml:space="preserve"> TB</w:t>
            </w:r>
            <w:r>
              <w:rPr>
                <w:rFonts w:ascii="Calibri" w:eastAsia="Times New Roman" w:hAnsi="Calibri" w:cs="Calibri"/>
                <w:color w:val="000000"/>
                <w:sz w:val="16"/>
                <w:szCs w:val="16"/>
                <w:lang w:eastAsia="cs-CZ"/>
              </w:rPr>
              <w:t>/hodinu</w:t>
            </w:r>
          </w:p>
        </w:tc>
        <w:tc>
          <w:tcPr>
            <w:tcW w:w="2835" w:type="dxa"/>
            <w:tcBorders>
              <w:top w:val="nil"/>
              <w:left w:val="nil"/>
              <w:bottom w:val="single" w:sz="4" w:space="0" w:color="auto"/>
              <w:right w:val="single" w:sz="4" w:space="0" w:color="auto"/>
            </w:tcBorders>
            <w:shd w:val="clear" w:color="auto" w:fill="auto"/>
            <w:noWrap/>
            <w:vAlign w:val="center"/>
          </w:tcPr>
          <w:p w14:paraId="4B2329C3" w14:textId="77777777" w:rsidR="00B8477D" w:rsidRPr="00B444D8" w:rsidRDefault="00B8477D" w:rsidP="00E047E6">
            <w:pPr>
              <w:spacing w:after="0"/>
              <w:rPr>
                <w:rFonts w:ascii="Calibri" w:eastAsia="Times New Roman" w:hAnsi="Calibri" w:cs="Calibri"/>
                <w:color w:val="000000"/>
                <w:sz w:val="16"/>
                <w:szCs w:val="16"/>
                <w:lang w:eastAsia="cs-CZ"/>
              </w:rPr>
            </w:pPr>
          </w:p>
        </w:tc>
        <w:tc>
          <w:tcPr>
            <w:tcW w:w="2567" w:type="dxa"/>
            <w:gridSpan w:val="2"/>
            <w:tcBorders>
              <w:top w:val="nil"/>
              <w:left w:val="nil"/>
              <w:bottom w:val="single" w:sz="4" w:space="0" w:color="auto"/>
              <w:right w:val="single" w:sz="8" w:space="0" w:color="auto"/>
            </w:tcBorders>
            <w:shd w:val="clear" w:color="auto" w:fill="auto"/>
            <w:noWrap/>
            <w:vAlign w:val="center"/>
          </w:tcPr>
          <w:p w14:paraId="1F060AB7" w14:textId="77777777" w:rsidR="00B8477D" w:rsidRPr="00B444D8" w:rsidRDefault="00B8477D" w:rsidP="00E047E6">
            <w:pPr>
              <w:spacing w:after="0"/>
              <w:rPr>
                <w:rFonts w:ascii="Calibri" w:eastAsia="Times New Roman" w:hAnsi="Calibri" w:cs="Calibri"/>
                <w:color w:val="000000"/>
                <w:sz w:val="16"/>
                <w:szCs w:val="16"/>
                <w:lang w:eastAsia="cs-CZ"/>
              </w:rPr>
            </w:pPr>
          </w:p>
        </w:tc>
      </w:tr>
      <w:tr w:rsidR="00B8477D" w:rsidRPr="00B444D8" w14:paraId="182FE6B9" w14:textId="77777777" w:rsidTr="00CC37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123" w:type="dxa"/>
            <w:vMerge/>
            <w:tcBorders>
              <w:top w:val="single" w:sz="4" w:space="0" w:color="auto"/>
              <w:left w:val="single" w:sz="8" w:space="0" w:color="auto"/>
              <w:bottom w:val="single" w:sz="4" w:space="0" w:color="auto"/>
              <w:right w:val="single" w:sz="4" w:space="0" w:color="auto"/>
            </w:tcBorders>
            <w:shd w:val="clear" w:color="auto" w:fill="B4C6E7" w:themeFill="accent1" w:themeFillTint="66"/>
            <w:vAlign w:val="center"/>
            <w:hideMark/>
          </w:tcPr>
          <w:p w14:paraId="340E8AB8" w14:textId="77777777" w:rsidR="00B8477D" w:rsidRPr="00B444D8" w:rsidRDefault="00B8477D" w:rsidP="00E047E6">
            <w:pPr>
              <w:spacing w:after="0"/>
              <w:rPr>
                <w:rFonts w:ascii="Calibri" w:eastAsia="Times New Roman" w:hAnsi="Calibri" w:cs="Calibri"/>
                <w:b/>
                <w:bCs/>
                <w:color w:val="000000"/>
                <w:sz w:val="16"/>
                <w:szCs w:val="16"/>
                <w:lang w:eastAsia="cs-CZ"/>
              </w:rPr>
            </w:pPr>
          </w:p>
        </w:tc>
        <w:tc>
          <w:tcPr>
            <w:tcW w:w="1710" w:type="dxa"/>
            <w:tcBorders>
              <w:top w:val="nil"/>
              <w:left w:val="nil"/>
              <w:bottom w:val="single" w:sz="4" w:space="0" w:color="auto"/>
              <w:right w:val="single" w:sz="4" w:space="0" w:color="auto"/>
            </w:tcBorders>
            <w:shd w:val="clear" w:color="auto" w:fill="auto"/>
            <w:vAlign w:val="center"/>
          </w:tcPr>
          <w:p w14:paraId="2CEC9581" w14:textId="77777777" w:rsidR="00B8477D" w:rsidRPr="0090540D" w:rsidRDefault="00B8477D" w:rsidP="00E047E6">
            <w:pPr>
              <w:spacing w:after="0"/>
              <w:rPr>
                <w:rFonts w:ascii="Calibri" w:eastAsia="Times New Roman" w:hAnsi="Calibri" w:cs="Calibri"/>
                <w:color w:val="000000"/>
                <w:sz w:val="16"/>
                <w:szCs w:val="16"/>
                <w:lang w:eastAsia="cs-CZ"/>
              </w:rPr>
            </w:pPr>
            <w:r w:rsidRPr="0090540D">
              <w:rPr>
                <w:rFonts w:ascii="Calibri" w:eastAsia="Times New Roman" w:hAnsi="Calibri" w:cs="Calibri"/>
                <w:color w:val="000000"/>
                <w:sz w:val="16"/>
                <w:szCs w:val="16"/>
                <w:lang w:eastAsia="cs-CZ"/>
              </w:rPr>
              <w:t>Záruka a technická podpora výrobce</w:t>
            </w:r>
          </w:p>
        </w:tc>
        <w:tc>
          <w:tcPr>
            <w:tcW w:w="5809" w:type="dxa"/>
            <w:tcBorders>
              <w:top w:val="nil"/>
              <w:left w:val="nil"/>
              <w:bottom w:val="single" w:sz="4" w:space="0" w:color="auto"/>
              <w:right w:val="single" w:sz="4" w:space="0" w:color="auto"/>
            </w:tcBorders>
            <w:shd w:val="clear" w:color="auto" w:fill="auto"/>
            <w:vAlign w:val="center"/>
          </w:tcPr>
          <w:p w14:paraId="0B30357B" w14:textId="02634534" w:rsidR="00B8477D" w:rsidRPr="00162D35" w:rsidRDefault="00CC3711" w:rsidP="00E047E6">
            <w:pPr>
              <w:spacing w:after="0"/>
              <w:rPr>
                <w:rFonts w:ascii="Calibri" w:eastAsia="Times New Roman" w:hAnsi="Calibri" w:cs="Calibri"/>
                <w:color w:val="000000"/>
                <w:sz w:val="16"/>
                <w:szCs w:val="16"/>
                <w:lang w:eastAsia="cs-CZ"/>
              </w:rPr>
            </w:pPr>
            <w:r>
              <w:rPr>
                <w:rFonts w:ascii="Calibri" w:eastAsia="Times New Roman" w:hAnsi="Calibri" w:cs="Calibri"/>
                <w:color w:val="000000"/>
                <w:sz w:val="16"/>
                <w:szCs w:val="16"/>
                <w:lang w:eastAsia="cs-CZ"/>
              </w:rPr>
              <w:t>Standardní z</w:t>
            </w:r>
            <w:r w:rsidR="00B8477D" w:rsidRPr="00162D35">
              <w:rPr>
                <w:rFonts w:ascii="Calibri" w:eastAsia="Times New Roman" w:hAnsi="Calibri" w:cs="Calibri"/>
                <w:color w:val="000000"/>
                <w:sz w:val="16"/>
                <w:szCs w:val="16"/>
                <w:lang w:eastAsia="cs-CZ"/>
              </w:rPr>
              <w:t>áruka min. 60 měsíců</w:t>
            </w:r>
          </w:p>
          <w:p w14:paraId="53806B53" w14:textId="77777777" w:rsidR="00B8477D" w:rsidRPr="00162D35" w:rsidRDefault="00B8477D" w:rsidP="00E047E6">
            <w:pPr>
              <w:spacing w:after="0"/>
              <w:rPr>
                <w:rFonts w:ascii="Calibri" w:eastAsia="Times New Roman" w:hAnsi="Calibri" w:cs="Calibri"/>
                <w:color w:val="000000"/>
                <w:sz w:val="16"/>
                <w:szCs w:val="16"/>
                <w:lang w:eastAsia="cs-CZ"/>
              </w:rPr>
            </w:pPr>
            <w:r w:rsidRPr="00162D35">
              <w:rPr>
                <w:rFonts w:ascii="Calibri" w:eastAsia="Times New Roman" w:hAnsi="Calibri" w:cs="Calibri"/>
                <w:color w:val="000000"/>
                <w:sz w:val="16"/>
                <w:szCs w:val="16"/>
                <w:lang w:eastAsia="cs-CZ"/>
              </w:rPr>
              <w:t>Servis je poskytován přímo výrobcem hardware.</w:t>
            </w:r>
          </w:p>
          <w:p w14:paraId="00A23F79" w14:textId="77777777" w:rsidR="00B8477D" w:rsidRPr="00162D35" w:rsidRDefault="00B8477D" w:rsidP="00E047E6">
            <w:pPr>
              <w:spacing w:after="0"/>
              <w:rPr>
                <w:rFonts w:ascii="Calibri" w:eastAsia="Times New Roman" w:hAnsi="Calibri" w:cs="Calibri"/>
                <w:color w:val="000000"/>
                <w:sz w:val="16"/>
                <w:szCs w:val="16"/>
                <w:lang w:eastAsia="cs-CZ"/>
              </w:rPr>
            </w:pPr>
            <w:r w:rsidRPr="00162D35">
              <w:rPr>
                <w:rFonts w:ascii="Calibri" w:eastAsia="Times New Roman" w:hAnsi="Calibri" w:cs="Calibri"/>
                <w:color w:val="000000"/>
                <w:sz w:val="16"/>
                <w:szCs w:val="16"/>
                <w:lang w:eastAsia="cs-CZ"/>
              </w:rPr>
              <w:t>Oprava v místě instalace hardware.</w:t>
            </w:r>
          </w:p>
          <w:p w14:paraId="6B69C325" w14:textId="77777777" w:rsidR="00B8477D" w:rsidRPr="00162D35" w:rsidRDefault="00B8477D" w:rsidP="00E047E6">
            <w:pPr>
              <w:spacing w:after="0"/>
              <w:rPr>
                <w:rFonts w:ascii="Calibri" w:eastAsia="Times New Roman" w:hAnsi="Calibri" w:cs="Calibri"/>
                <w:color w:val="000000"/>
                <w:sz w:val="16"/>
                <w:szCs w:val="16"/>
                <w:lang w:eastAsia="cs-CZ"/>
              </w:rPr>
            </w:pPr>
            <w:r w:rsidRPr="00162D35">
              <w:rPr>
                <w:rFonts w:ascii="Calibri" w:eastAsia="Times New Roman" w:hAnsi="Calibri" w:cs="Calibri"/>
                <w:color w:val="000000"/>
                <w:sz w:val="16"/>
                <w:szCs w:val="16"/>
                <w:lang w:eastAsia="cs-CZ"/>
              </w:rPr>
              <w:t>Možnost automatického generování servisního incidentu přímo u výrobce hardware</w:t>
            </w:r>
            <w:r>
              <w:rPr>
                <w:rFonts w:ascii="Calibri" w:eastAsia="Times New Roman" w:hAnsi="Calibri" w:cs="Calibri"/>
                <w:color w:val="000000"/>
                <w:sz w:val="16"/>
                <w:szCs w:val="16"/>
                <w:lang w:eastAsia="cs-CZ"/>
              </w:rPr>
              <w:t xml:space="preserve">. </w:t>
            </w:r>
            <w:r w:rsidRPr="00162D35">
              <w:rPr>
                <w:rFonts w:ascii="Calibri" w:eastAsia="Times New Roman" w:hAnsi="Calibri" w:cs="Calibri"/>
                <w:color w:val="000000"/>
                <w:sz w:val="16"/>
                <w:szCs w:val="16"/>
                <w:lang w:eastAsia="cs-CZ"/>
              </w:rPr>
              <w:t xml:space="preserve">Podpora musí zahrnovat i nárok na aktualizace software a firmware pro komponenty </w:t>
            </w:r>
            <w:r>
              <w:rPr>
                <w:rFonts w:ascii="Calibri" w:eastAsia="Times New Roman" w:hAnsi="Calibri" w:cs="Calibri"/>
                <w:color w:val="000000"/>
                <w:sz w:val="16"/>
                <w:szCs w:val="16"/>
                <w:lang w:eastAsia="cs-CZ"/>
              </w:rPr>
              <w:t>úložiště</w:t>
            </w:r>
            <w:r w:rsidRPr="00162D35">
              <w:rPr>
                <w:rFonts w:ascii="Calibri" w:eastAsia="Times New Roman" w:hAnsi="Calibri" w:cs="Calibri"/>
                <w:color w:val="000000"/>
                <w:sz w:val="16"/>
                <w:szCs w:val="16"/>
                <w:lang w:eastAsia="cs-CZ"/>
              </w:rPr>
              <w:t xml:space="preserve">. Podpora prostřednictvím </w:t>
            </w:r>
            <w:r>
              <w:rPr>
                <w:rFonts w:ascii="Calibri" w:eastAsia="Times New Roman" w:hAnsi="Calibri" w:cs="Calibri"/>
                <w:color w:val="000000"/>
                <w:sz w:val="16"/>
                <w:szCs w:val="16"/>
                <w:lang w:eastAsia="cs-CZ"/>
              </w:rPr>
              <w:t>i</w:t>
            </w:r>
            <w:r w:rsidRPr="00162D35">
              <w:rPr>
                <w:rFonts w:ascii="Calibri" w:eastAsia="Times New Roman" w:hAnsi="Calibri" w:cs="Calibri"/>
                <w:color w:val="000000"/>
                <w:sz w:val="16"/>
                <w:szCs w:val="16"/>
                <w:lang w:eastAsia="cs-CZ"/>
              </w:rPr>
              <w:t>nternetu musí umožňovat ověření typu a délky záruky a stahování aktuálních ovladačů, firmware, software a manuálů z internetu adresně pro konkrétní zadané sériové číslo zařízení.</w:t>
            </w:r>
          </w:p>
        </w:tc>
        <w:tc>
          <w:tcPr>
            <w:tcW w:w="2835" w:type="dxa"/>
            <w:tcBorders>
              <w:top w:val="nil"/>
              <w:left w:val="nil"/>
              <w:bottom w:val="single" w:sz="4" w:space="0" w:color="auto"/>
              <w:right w:val="single" w:sz="4" w:space="0" w:color="auto"/>
            </w:tcBorders>
            <w:shd w:val="clear" w:color="auto" w:fill="auto"/>
            <w:noWrap/>
            <w:vAlign w:val="center"/>
            <w:hideMark/>
          </w:tcPr>
          <w:p w14:paraId="53705981"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c>
          <w:tcPr>
            <w:tcW w:w="2567" w:type="dxa"/>
            <w:gridSpan w:val="2"/>
            <w:tcBorders>
              <w:top w:val="nil"/>
              <w:left w:val="nil"/>
              <w:bottom w:val="single" w:sz="4" w:space="0" w:color="auto"/>
              <w:right w:val="single" w:sz="8" w:space="0" w:color="auto"/>
            </w:tcBorders>
            <w:shd w:val="clear" w:color="auto" w:fill="auto"/>
            <w:noWrap/>
            <w:vAlign w:val="center"/>
            <w:hideMark/>
          </w:tcPr>
          <w:p w14:paraId="18268102" w14:textId="77777777" w:rsidR="00B8477D" w:rsidRPr="00B444D8" w:rsidRDefault="00B8477D" w:rsidP="00E047E6">
            <w:pPr>
              <w:spacing w:after="0"/>
              <w:rPr>
                <w:rFonts w:ascii="Calibri" w:eastAsia="Times New Roman" w:hAnsi="Calibri" w:cs="Calibri"/>
                <w:color w:val="000000"/>
                <w:sz w:val="16"/>
                <w:szCs w:val="16"/>
                <w:lang w:eastAsia="cs-CZ"/>
              </w:rPr>
            </w:pPr>
            <w:r w:rsidRPr="00B444D8">
              <w:rPr>
                <w:rFonts w:ascii="Calibri" w:eastAsia="Times New Roman" w:hAnsi="Calibri" w:cs="Calibri"/>
                <w:color w:val="000000"/>
                <w:sz w:val="16"/>
                <w:szCs w:val="16"/>
                <w:lang w:eastAsia="cs-CZ"/>
              </w:rPr>
              <w:t> </w:t>
            </w:r>
          </w:p>
        </w:tc>
      </w:tr>
    </w:tbl>
    <w:p w14:paraId="3E4F620E" w14:textId="77777777" w:rsidR="00400C32" w:rsidRDefault="00400C32">
      <w:pPr>
        <w:spacing w:after="160" w:line="259" w:lineRule="auto"/>
      </w:pPr>
    </w:p>
    <w:sectPr w:rsidR="00400C32" w:rsidSect="00860316">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6B3D4" w14:textId="77777777" w:rsidR="00860316" w:rsidRDefault="00860316" w:rsidP="00FF2308">
      <w:pPr>
        <w:spacing w:after="0"/>
      </w:pPr>
      <w:r>
        <w:separator/>
      </w:r>
    </w:p>
  </w:endnote>
  <w:endnote w:type="continuationSeparator" w:id="0">
    <w:p w14:paraId="75B56BC4" w14:textId="77777777" w:rsidR="00860316" w:rsidRDefault="00860316" w:rsidP="00FF23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
    <w:altName w:val="Yu Gothic"/>
    <w:panose1 w:val="00000000000000000000"/>
    <w:charset w:val="80"/>
    <w:family w:val="auto"/>
    <w:notTrueType/>
    <w:pitch w:val="variable"/>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2AC4A" w14:textId="77777777" w:rsidR="00860316" w:rsidRDefault="00860316" w:rsidP="00FF2308">
      <w:pPr>
        <w:spacing w:after="0"/>
      </w:pPr>
      <w:r>
        <w:separator/>
      </w:r>
    </w:p>
  </w:footnote>
  <w:footnote w:type="continuationSeparator" w:id="0">
    <w:p w14:paraId="5D656DDB" w14:textId="77777777" w:rsidR="00860316" w:rsidRDefault="00860316" w:rsidP="00FF230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0"/>
      <w:gridCol w:w="2376"/>
      <w:gridCol w:w="1896"/>
    </w:tblGrid>
    <w:tr w:rsidR="00F56588" w14:paraId="02805E31" w14:textId="77777777" w:rsidTr="000C24A9">
      <w:tc>
        <w:tcPr>
          <w:tcW w:w="4800" w:type="dxa"/>
          <w:shd w:val="clear" w:color="auto" w:fill="auto"/>
        </w:tcPr>
        <w:p w14:paraId="48B84F6C" w14:textId="091A9C22" w:rsidR="00F56588" w:rsidRDefault="00F56588" w:rsidP="000C24A9">
          <w:pPr>
            <w:pStyle w:val="Zhlav"/>
          </w:pPr>
          <w:r>
            <w:rPr>
              <w:noProof/>
            </w:rPr>
            <w:drawing>
              <wp:inline distT="0" distB="0" distL="0" distR="0" wp14:anchorId="5CE48B88" wp14:editId="46C9CFAD">
                <wp:extent cx="2910840" cy="502920"/>
                <wp:effectExtent l="0" t="0" r="0" b="0"/>
                <wp:docPr id="2015551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502920"/>
                        </a:xfrm>
                        <a:prstGeom prst="rect">
                          <a:avLst/>
                        </a:prstGeom>
                        <a:noFill/>
                      </pic:spPr>
                    </pic:pic>
                  </a:graphicData>
                </a:graphic>
              </wp:inline>
            </w:drawing>
          </w:r>
        </w:p>
      </w:tc>
      <w:tc>
        <w:tcPr>
          <w:tcW w:w="2288" w:type="dxa"/>
          <w:shd w:val="clear" w:color="auto" w:fill="auto"/>
        </w:tcPr>
        <w:p w14:paraId="61CBC357" w14:textId="02D4B6CD" w:rsidR="00F56588" w:rsidRDefault="00F56588" w:rsidP="000C24A9">
          <w:pPr>
            <w:pStyle w:val="Zhlav"/>
          </w:pPr>
          <w:r>
            <w:rPr>
              <w:noProof/>
            </w:rPr>
            <w:drawing>
              <wp:inline distT="0" distB="0" distL="0" distR="0" wp14:anchorId="35759411" wp14:editId="7ABE0F7D">
                <wp:extent cx="1371600" cy="384175"/>
                <wp:effectExtent l="0" t="0" r="0" b="0"/>
                <wp:docPr id="10398174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384175"/>
                        </a:xfrm>
                        <a:prstGeom prst="rect">
                          <a:avLst/>
                        </a:prstGeom>
                        <a:noFill/>
                      </pic:spPr>
                    </pic:pic>
                  </a:graphicData>
                </a:graphic>
              </wp:inline>
            </w:drawing>
          </w:r>
        </w:p>
      </w:tc>
      <w:tc>
        <w:tcPr>
          <w:tcW w:w="1984" w:type="dxa"/>
          <w:shd w:val="clear" w:color="auto" w:fill="auto"/>
        </w:tcPr>
        <w:p w14:paraId="6111CA07" w14:textId="7D6A1A60" w:rsidR="00F56588" w:rsidRDefault="00F56588" w:rsidP="000B4985">
          <w:pPr>
            <w:pStyle w:val="Zhlav"/>
            <w:jc w:val="right"/>
          </w:pPr>
          <w:r>
            <w:t>Příloha č. 9 – technické podmínky</w:t>
          </w:r>
        </w:p>
      </w:tc>
    </w:tr>
  </w:tbl>
  <w:p w14:paraId="4FBE8658" w14:textId="7456BC62" w:rsidR="00FF2308" w:rsidRDefault="00FF2308" w:rsidP="00F5658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63A99"/>
    <w:multiLevelType w:val="hybridMultilevel"/>
    <w:tmpl w:val="9F96BB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E97611"/>
    <w:multiLevelType w:val="hybridMultilevel"/>
    <w:tmpl w:val="6F544AB4"/>
    <w:lvl w:ilvl="0" w:tplc="4B767F9C">
      <w:start w:val="1"/>
      <w:numFmt w:val="decimal"/>
      <w:pStyle w:val="Nadpis1"/>
      <w:lvlText w:val="%1."/>
      <w:lvlJc w:val="left"/>
      <w:pPr>
        <w:ind w:left="720" w:hanging="360"/>
      </w:pPr>
      <w:rPr>
        <w:rFonts w:hint="default"/>
        <w:b/>
        <w:bCs w:val="0"/>
        <w:i w:val="0"/>
      </w:rPr>
    </w:lvl>
    <w:lvl w:ilvl="1" w:tplc="3B429C98">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1DF10DA"/>
    <w:multiLevelType w:val="hybridMultilevel"/>
    <w:tmpl w:val="7CBCAB54"/>
    <w:lvl w:ilvl="0" w:tplc="04626A04">
      <w:start w:val="1"/>
      <w:numFmt w:val="decimal"/>
      <w:lvlText w:val="%1."/>
      <w:lvlJc w:val="left"/>
      <w:pPr>
        <w:ind w:left="720" w:hanging="360"/>
      </w:pPr>
      <w:rPr>
        <w:rFonts w:hint="default"/>
        <w:b w:val="0"/>
        <w:bCs/>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CD2287F"/>
    <w:multiLevelType w:val="hybridMultilevel"/>
    <w:tmpl w:val="6F1ABC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F47654D"/>
    <w:multiLevelType w:val="hybridMultilevel"/>
    <w:tmpl w:val="042687E2"/>
    <w:lvl w:ilvl="0" w:tplc="4A949386">
      <w:start w:val="1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2C86290"/>
    <w:multiLevelType w:val="hybridMultilevel"/>
    <w:tmpl w:val="CBE2125A"/>
    <w:lvl w:ilvl="0" w:tplc="EEA6F82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F875BFC"/>
    <w:multiLevelType w:val="hybridMultilevel"/>
    <w:tmpl w:val="FD368528"/>
    <w:lvl w:ilvl="0" w:tplc="4A949386">
      <w:start w:val="1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FB663BC"/>
    <w:multiLevelType w:val="hybridMultilevel"/>
    <w:tmpl w:val="CCE2A666"/>
    <w:lvl w:ilvl="0" w:tplc="4A949386">
      <w:start w:val="11"/>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41C2523"/>
    <w:multiLevelType w:val="hybridMultilevel"/>
    <w:tmpl w:val="F0F8E6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A315D7"/>
    <w:multiLevelType w:val="hybridMultilevel"/>
    <w:tmpl w:val="CD70F1C2"/>
    <w:lvl w:ilvl="0" w:tplc="71A40978">
      <w:start w:val="1"/>
      <w:numFmt w:val="upperLetter"/>
      <w:pStyle w:val="Nadpis2"/>
      <w:lvlText w:val="%1."/>
      <w:lvlJc w:val="left"/>
      <w:pPr>
        <w:ind w:left="71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FC74994"/>
    <w:multiLevelType w:val="hybridMultilevel"/>
    <w:tmpl w:val="D88896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86304F3"/>
    <w:multiLevelType w:val="hybridMultilevel"/>
    <w:tmpl w:val="504CDC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5C790E"/>
    <w:multiLevelType w:val="hybridMultilevel"/>
    <w:tmpl w:val="C548EA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EF5156B"/>
    <w:multiLevelType w:val="hybridMultilevel"/>
    <w:tmpl w:val="C900AE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24C541E"/>
    <w:multiLevelType w:val="hybridMultilevel"/>
    <w:tmpl w:val="AF4A4ACC"/>
    <w:lvl w:ilvl="0" w:tplc="3B6E5196">
      <w:start w:val="1"/>
      <w:numFmt w:val="decimal"/>
      <w:lvlText w:val="%1."/>
      <w:lvlJc w:val="left"/>
      <w:pPr>
        <w:ind w:left="720" w:hanging="360"/>
      </w:pPr>
      <w:rPr>
        <w:rFonts w:hint="default"/>
        <w:b w:val="0"/>
        <w:bCs/>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2E364F4"/>
    <w:multiLevelType w:val="hybridMultilevel"/>
    <w:tmpl w:val="5720C664"/>
    <w:lvl w:ilvl="0" w:tplc="04050019">
      <w:start w:val="1"/>
      <w:numFmt w:val="lowerLetter"/>
      <w:lvlText w:val="%1."/>
      <w:lvlJc w:val="left"/>
      <w:pPr>
        <w:ind w:left="720" w:hanging="360"/>
      </w:pPr>
      <w:rPr>
        <w:rFonts w:hint="default"/>
        <w:b w:val="0"/>
        <w:bCs/>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3A31DC9"/>
    <w:multiLevelType w:val="hybridMultilevel"/>
    <w:tmpl w:val="CBAE8C6C"/>
    <w:lvl w:ilvl="0" w:tplc="04050001">
      <w:start w:val="1"/>
      <w:numFmt w:val="bullet"/>
      <w:lvlText w:val=""/>
      <w:lvlJc w:val="left"/>
      <w:pPr>
        <w:ind w:left="773" w:hanging="360"/>
      </w:pPr>
      <w:rPr>
        <w:rFonts w:ascii="Symbol" w:hAnsi="Symbol" w:hint="default"/>
      </w:rPr>
    </w:lvl>
    <w:lvl w:ilvl="1" w:tplc="04050003" w:tentative="1">
      <w:start w:val="1"/>
      <w:numFmt w:val="bullet"/>
      <w:lvlText w:val="o"/>
      <w:lvlJc w:val="left"/>
      <w:pPr>
        <w:ind w:left="1493" w:hanging="360"/>
      </w:pPr>
      <w:rPr>
        <w:rFonts w:ascii="Courier New" w:hAnsi="Courier New" w:cs="Courier New" w:hint="default"/>
      </w:rPr>
    </w:lvl>
    <w:lvl w:ilvl="2" w:tplc="04050005" w:tentative="1">
      <w:start w:val="1"/>
      <w:numFmt w:val="bullet"/>
      <w:lvlText w:val=""/>
      <w:lvlJc w:val="left"/>
      <w:pPr>
        <w:ind w:left="2213" w:hanging="360"/>
      </w:pPr>
      <w:rPr>
        <w:rFonts w:ascii="Wingdings" w:hAnsi="Wingdings" w:hint="default"/>
      </w:rPr>
    </w:lvl>
    <w:lvl w:ilvl="3" w:tplc="04050001" w:tentative="1">
      <w:start w:val="1"/>
      <w:numFmt w:val="bullet"/>
      <w:lvlText w:val=""/>
      <w:lvlJc w:val="left"/>
      <w:pPr>
        <w:ind w:left="2933" w:hanging="360"/>
      </w:pPr>
      <w:rPr>
        <w:rFonts w:ascii="Symbol" w:hAnsi="Symbol" w:hint="default"/>
      </w:rPr>
    </w:lvl>
    <w:lvl w:ilvl="4" w:tplc="04050003" w:tentative="1">
      <w:start w:val="1"/>
      <w:numFmt w:val="bullet"/>
      <w:lvlText w:val="o"/>
      <w:lvlJc w:val="left"/>
      <w:pPr>
        <w:ind w:left="3653" w:hanging="360"/>
      </w:pPr>
      <w:rPr>
        <w:rFonts w:ascii="Courier New" w:hAnsi="Courier New" w:cs="Courier New" w:hint="default"/>
      </w:rPr>
    </w:lvl>
    <w:lvl w:ilvl="5" w:tplc="04050005" w:tentative="1">
      <w:start w:val="1"/>
      <w:numFmt w:val="bullet"/>
      <w:lvlText w:val=""/>
      <w:lvlJc w:val="left"/>
      <w:pPr>
        <w:ind w:left="4373" w:hanging="360"/>
      </w:pPr>
      <w:rPr>
        <w:rFonts w:ascii="Wingdings" w:hAnsi="Wingdings" w:hint="default"/>
      </w:rPr>
    </w:lvl>
    <w:lvl w:ilvl="6" w:tplc="04050001" w:tentative="1">
      <w:start w:val="1"/>
      <w:numFmt w:val="bullet"/>
      <w:lvlText w:val=""/>
      <w:lvlJc w:val="left"/>
      <w:pPr>
        <w:ind w:left="5093" w:hanging="360"/>
      </w:pPr>
      <w:rPr>
        <w:rFonts w:ascii="Symbol" w:hAnsi="Symbol" w:hint="default"/>
      </w:rPr>
    </w:lvl>
    <w:lvl w:ilvl="7" w:tplc="04050003" w:tentative="1">
      <w:start w:val="1"/>
      <w:numFmt w:val="bullet"/>
      <w:lvlText w:val="o"/>
      <w:lvlJc w:val="left"/>
      <w:pPr>
        <w:ind w:left="5813" w:hanging="360"/>
      </w:pPr>
      <w:rPr>
        <w:rFonts w:ascii="Courier New" w:hAnsi="Courier New" w:cs="Courier New" w:hint="default"/>
      </w:rPr>
    </w:lvl>
    <w:lvl w:ilvl="8" w:tplc="04050005" w:tentative="1">
      <w:start w:val="1"/>
      <w:numFmt w:val="bullet"/>
      <w:lvlText w:val=""/>
      <w:lvlJc w:val="left"/>
      <w:pPr>
        <w:ind w:left="6533" w:hanging="360"/>
      </w:pPr>
      <w:rPr>
        <w:rFonts w:ascii="Wingdings" w:hAnsi="Wingdings" w:hint="default"/>
      </w:rPr>
    </w:lvl>
  </w:abstractNum>
  <w:abstractNum w:abstractNumId="17" w15:restartNumberingAfterBreak="0">
    <w:nsid w:val="646A0964"/>
    <w:multiLevelType w:val="hybridMultilevel"/>
    <w:tmpl w:val="B5147862"/>
    <w:lvl w:ilvl="0" w:tplc="3496A97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2A0574"/>
    <w:multiLevelType w:val="hybridMultilevel"/>
    <w:tmpl w:val="AF8047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4C27C9"/>
    <w:multiLevelType w:val="hybridMultilevel"/>
    <w:tmpl w:val="23E44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CB1FBC"/>
    <w:multiLevelType w:val="hybridMultilevel"/>
    <w:tmpl w:val="758289DA"/>
    <w:lvl w:ilvl="0" w:tplc="156E7B8E">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6354D7"/>
    <w:multiLevelType w:val="hybridMultilevel"/>
    <w:tmpl w:val="E61C665A"/>
    <w:lvl w:ilvl="0" w:tplc="4A949386">
      <w:start w:val="11"/>
      <w:numFmt w:val="bullet"/>
      <w:lvlText w:val="•"/>
      <w:lvlJc w:val="left"/>
      <w:pPr>
        <w:ind w:left="1425" w:hanging="705"/>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6E614E10"/>
    <w:multiLevelType w:val="hybridMultilevel"/>
    <w:tmpl w:val="003EBD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737989"/>
    <w:multiLevelType w:val="hybridMultilevel"/>
    <w:tmpl w:val="9CCE17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305233">
    <w:abstractNumId w:val="5"/>
  </w:num>
  <w:num w:numId="2" w16cid:durableId="321474825">
    <w:abstractNumId w:val="1"/>
  </w:num>
  <w:num w:numId="3" w16cid:durableId="962923063">
    <w:abstractNumId w:val="2"/>
  </w:num>
  <w:num w:numId="4" w16cid:durableId="1068459887">
    <w:abstractNumId w:val="14"/>
  </w:num>
  <w:num w:numId="5" w16cid:durableId="745808061">
    <w:abstractNumId w:val="15"/>
  </w:num>
  <w:num w:numId="6" w16cid:durableId="1799495851">
    <w:abstractNumId w:val="0"/>
  </w:num>
  <w:num w:numId="7" w16cid:durableId="1630669679">
    <w:abstractNumId w:val="9"/>
  </w:num>
  <w:num w:numId="8" w16cid:durableId="223368522">
    <w:abstractNumId w:val="8"/>
  </w:num>
  <w:num w:numId="9" w16cid:durableId="1149443826">
    <w:abstractNumId w:val="19"/>
  </w:num>
  <w:num w:numId="10" w16cid:durableId="467406718">
    <w:abstractNumId w:val="9"/>
    <w:lvlOverride w:ilvl="0">
      <w:startOverride w:val="1"/>
    </w:lvlOverride>
  </w:num>
  <w:num w:numId="11" w16cid:durableId="242567521">
    <w:abstractNumId w:val="12"/>
  </w:num>
  <w:num w:numId="12" w16cid:durableId="431440488">
    <w:abstractNumId w:val="10"/>
  </w:num>
  <w:num w:numId="13" w16cid:durableId="1175724143">
    <w:abstractNumId w:val="20"/>
  </w:num>
  <w:num w:numId="14" w16cid:durableId="355273416">
    <w:abstractNumId w:val="11"/>
  </w:num>
  <w:num w:numId="15" w16cid:durableId="1864782290">
    <w:abstractNumId w:val="3"/>
  </w:num>
  <w:num w:numId="16" w16cid:durableId="1770541805">
    <w:abstractNumId w:val="17"/>
  </w:num>
  <w:num w:numId="17" w16cid:durableId="1856309767">
    <w:abstractNumId w:val="13"/>
  </w:num>
  <w:num w:numId="18" w16cid:durableId="855462507">
    <w:abstractNumId w:val="6"/>
  </w:num>
  <w:num w:numId="19" w16cid:durableId="2105301127">
    <w:abstractNumId w:val="21"/>
  </w:num>
  <w:num w:numId="20" w16cid:durableId="1572883735">
    <w:abstractNumId w:val="4"/>
  </w:num>
  <w:num w:numId="21" w16cid:durableId="1609697865">
    <w:abstractNumId w:val="7"/>
  </w:num>
  <w:num w:numId="22" w16cid:durableId="149640690">
    <w:abstractNumId w:val="23"/>
  </w:num>
  <w:num w:numId="23" w16cid:durableId="1735735856">
    <w:abstractNumId w:val="9"/>
    <w:lvlOverride w:ilvl="0">
      <w:startOverride w:val="1"/>
    </w:lvlOverride>
  </w:num>
  <w:num w:numId="24" w16cid:durableId="1436247723">
    <w:abstractNumId w:val="9"/>
    <w:lvlOverride w:ilvl="0">
      <w:startOverride w:val="1"/>
    </w:lvlOverride>
  </w:num>
  <w:num w:numId="25" w16cid:durableId="683945055">
    <w:abstractNumId w:val="22"/>
  </w:num>
  <w:num w:numId="26" w16cid:durableId="1050149256">
    <w:abstractNumId w:val="18"/>
  </w:num>
  <w:num w:numId="27" w16cid:durableId="7304666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223"/>
    <w:rsid w:val="0005244E"/>
    <w:rsid w:val="000741E9"/>
    <w:rsid w:val="000940FE"/>
    <w:rsid w:val="000B09FF"/>
    <w:rsid w:val="000B4470"/>
    <w:rsid w:val="000C24A9"/>
    <w:rsid w:val="000D159C"/>
    <w:rsid w:val="00164AB5"/>
    <w:rsid w:val="00165AA1"/>
    <w:rsid w:val="00177EB4"/>
    <w:rsid w:val="001C6BDF"/>
    <w:rsid w:val="001E180D"/>
    <w:rsid w:val="001E596C"/>
    <w:rsid w:val="001F7743"/>
    <w:rsid w:val="002170E6"/>
    <w:rsid w:val="00221962"/>
    <w:rsid w:val="00227230"/>
    <w:rsid w:val="00243D77"/>
    <w:rsid w:val="00252D81"/>
    <w:rsid w:val="00254DFF"/>
    <w:rsid w:val="002D7506"/>
    <w:rsid w:val="003320FE"/>
    <w:rsid w:val="00355F76"/>
    <w:rsid w:val="00365759"/>
    <w:rsid w:val="00382342"/>
    <w:rsid w:val="003B17FE"/>
    <w:rsid w:val="003D4263"/>
    <w:rsid w:val="00400C1C"/>
    <w:rsid w:val="00400C32"/>
    <w:rsid w:val="004148DE"/>
    <w:rsid w:val="00441DE1"/>
    <w:rsid w:val="004618B9"/>
    <w:rsid w:val="00486B00"/>
    <w:rsid w:val="004B7A65"/>
    <w:rsid w:val="004C0869"/>
    <w:rsid w:val="004F2687"/>
    <w:rsid w:val="0051651B"/>
    <w:rsid w:val="005173FA"/>
    <w:rsid w:val="0052367C"/>
    <w:rsid w:val="00544F58"/>
    <w:rsid w:val="005637FE"/>
    <w:rsid w:val="005725E4"/>
    <w:rsid w:val="005757CF"/>
    <w:rsid w:val="005A1154"/>
    <w:rsid w:val="00617DEB"/>
    <w:rsid w:val="006347DE"/>
    <w:rsid w:val="006538BE"/>
    <w:rsid w:val="00663CFE"/>
    <w:rsid w:val="00666369"/>
    <w:rsid w:val="006704B1"/>
    <w:rsid w:val="00684919"/>
    <w:rsid w:val="006A3F6C"/>
    <w:rsid w:val="006E36A6"/>
    <w:rsid w:val="00742F6B"/>
    <w:rsid w:val="0078106E"/>
    <w:rsid w:val="007822F7"/>
    <w:rsid w:val="0078535D"/>
    <w:rsid w:val="007A4943"/>
    <w:rsid w:val="007A7223"/>
    <w:rsid w:val="007A74C0"/>
    <w:rsid w:val="007A7FC7"/>
    <w:rsid w:val="007B7047"/>
    <w:rsid w:val="008133F8"/>
    <w:rsid w:val="00836E80"/>
    <w:rsid w:val="00860316"/>
    <w:rsid w:val="00896F3A"/>
    <w:rsid w:val="008C7892"/>
    <w:rsid w:val="008F6165"/>
    <w:rsid w:val="00921EA1"/>
    <w:rsid w:val="009A51C4"/>
    <w:rsid w:val="009A7DE2"/>
    <w:rsid w:val="009C6190"/>
    <w:rsid w:val="00A10239"/>
    <w:rsid w:val="00A66C19"/>
    <w:rsid w:val="00A97BDE"/>
    <w:rsid w:val="00AA7B62"/>
    <w:rsid w:val="00AC29B4"/>
    <w:rsid w:val="00B41FF5"/>
    <w:rsid w:val="00B766DC"/>
    <w:rsid w:val="00B8477D"/>
    <w:rsid w:val="00BA70FC"/>
    <w:rsid w:val="00BD2611"/>
    <w:rsid w:val="00BD3AE5"/>
    <w:rsid w:val="00BF4EFE"/>
    <w:rsid w:val="00C26579"/>
    <w:rsid w:val="00C31209"/>
    <w:rsid w:val="00C85F39"/>
    <w:rsid w:val="00CB579F"/>
    <w:rsid w:val="00CC3711"/>
    <w:rsid w:val="00CF3103"/>
    <w:rsid w:val="00D2497F"/>
    <w:rsid w:val="00D5749C"/>
    <w:rsid w:val="00DB061A"/>
    <w:rsid w:val="00DB4244"/>
    <w:rsid w:val="00DC2E08"/>
    <w:rsid w:val="00EA0E91"/>
    <w:rsid w:val="00EB5619"/>
    <w:rsid w:val="00F01AFE"/>
    <w:rsid w:val="00F22175"/>
    <w:rsid w:val="00F56588"/>
    <w:rsid w:val="00F6622E"/>
    <w:rsid w:val="00F66F4F"/>
    <w:rsid w:val="00F95085"/>
    <w:rsid w:val="00FA05F2"/>
    <w:rsid w:val="00FA568A"/>
    <w:rsid w:val="00FB3CBE"/>
    <w:rsid w:val="00FF23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A73ACC5"/>
  <w15:chartTrackingRefBased/>
  <w15:docId w15:val="{157093D1-716F-4DF9-ACCF-8EF51EDBE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2367C"/>
    <w:pPr>
      <w:spacing w:after="120" w:line="240" w:lineRule="auto"/>
    </w:pPr>
  </w:style>
  <w:style w:type="paragraph" w:styleId="Nadpis1">
    <w:name w:val="heading 1"/>
    <w:basedOn w:val="Normln"/>
    <w:next w:val="Normln"/>
    <w:link w:val="Nadpis1Char"/>
    <w:uiPriority w:val="9"/>
    <w:qFormat/>
    <w:rsid w:val="00AC29B4"/>
    <w:pPr>
      <w:keepNext/>
      <w:keepLines/>
      <w:numPr>
        <w:numId w:val="2"/>
      </w:numPr>
      <w:spacing w:before="240"/>
      <w:ind w:left="714" w:hanging="357"/>
      <w:outlineLvl w:val="0"/>
    </w:pPr>
    <w:rPr>
      <w:rFonts w:ascii="Calibri" w:eastAsiaTheme="majorEastAsia" w:hAnsi="Calibri" w:cstheme="majorBidi"/>
      <w:b/>
      <w:sz w:val="32"/>
      <w:szCs w:val="32"/>
    </w:rPr>
  </w:style>
  <w:style w:type="paragraph" w:styleId="Nadpis2">
    <w:name w:val="heading 2"/>
    <w:basedOn w:val="Normln"/>
    <w:next w:val="Normln"/>
    <w:link w:val="Nadpis2Char"/>
    <w:uiPriority w:val="9"/>
    <w:unhideWhenUsed/>
    <w:qFormat/>
    <w:rsid w:val="00AC29B4"/>
    <w:pPr>
      <w:keepNext/>
      <w:keepLines/>
      <w:numPr>
        <w:numId w:val="7"/>
      </w:numPr>
      <w:spacing w:before="40"/>
      <w:outlineLvl w:val="1"/>
    </w:pPr>
    <w:rPr>
      <w:rFonts w:ascii="Calibri" w:eastAsiaTheme="majorEastAsia" w:hAnsi="Calibri" w:cstheme="majorBidi"/>
      <w:b/>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FF2308"/>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F2308"/>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AC29B4"/>
    <w:rPr>
      <w:rFonts w:ascii="Calibri" w:eastAsiaTheme="majorEastAsia" w:hAnsi="Calibri" w:cstheme="majorBidi"/>
      <w:b/>
      <w:sz w:val="32"/>
      <w:szCs w:val="32"/>
    </w:rPr>
  </w:style>
  <w:style w:type="paragraph" w:styleId="Zhlav">
    <w:name w:val="header"/>
    <w:basedOn w:val="Normln"/>
    <w:link w:val="ZhlavChar"/>
    <w:uiPriority w:val="99"/>
    <w:unhideWhenUsed/>
    <w:rsid w:val="00FF2308"/>
    <w:pPr>
      <w:tabs>
        <w:tab w:val="center" w:pos="4536"/>
        <w:tab w:val="right" w:pos="9072"/>
      </w:tabs>
      <w:spacing w:after="0"/>
    </w:pPr>
  </w:style>
  <w:style w:type="character" w:customStyle="1" w:styleId="ZhlavChar">
    <w:name w:val="Záhlaví Char"/>
    <w:basedOn w:val="Standardnpsmoodstavce"/>
    <w:link w:val="Zhlav"/>
    <w:uiPriority w:val="99"/>
    <w:rsid w:val="00FF2308"/>
  </w:style>
  <w:style w:type="paragraph" w:styleId="Zpat">
    <w:name w:val="footer"/>
    <w:basedOn w:val="Normln"/>
    <w:link w:val="ZpatChar"/>
    <w:uiPriority w:val="99"/>
    <w:unhideWhenUsed/>
    <w:rsid w:val="00FF2308"/>
    <w:pPr>
      <w:tabs>
        <w:tab w:val="center" w:pos="4536"/>
        <w:tab w:val="right" w:pos="9072"/>
      </w:tabs>
      <w:spacing w:after="0"/>
    </w:pPr>
  </w:style>
  <w:style w:type="character" w:customStyle="1" w:styleId="ZpatChar">
    <w:name w:val="Zápatí Char"/>
    <w:basedOn w:val="Standardnpsmoodstavce"/>
    <w:link w:val="Zpat"/>
    <w:uiPriority w:val="99"/>
    <w:rsid w:val="00FF2308"/>
  </w:style>
  <w:style w:type="character" w:customStyle="1" w:styleId="Nadpis2Char">
    <w:name w:val="Nadpis 2 Char"/>
    <w:basedOn w:val="Standardnpsmoodstavce"/>
    <w:link w:val="Nadpis2"/>
    <w:uiPriority w:val="9"/>
    <w:rsid w:val="00AC29B4"/>
    <w:rPr>
      <w:rFonts w:ascii="Calibri" w:eastAsiaTheme="majorEastAsia" w:hAnsi="Calibri" w:cstheme="majorBidi"/>
      <w:b/>
      <w:sz w:val="26"/>
      <w:szCs w:val="26"/>
    </w:rPr>
  </w:style>
  <w:style w:type="paragraph" w:styleId="Odstavecseseznamem">
    <w:name w:val="List Paragraph"/>
    <w:basedOn w:val="Normln"/>
    <w:uiPriority w:val="34"/>
    <w:qFormat/>
    <w:rsid w:val="009A51C4"/>
    <w:pPr>
      <w:ind w:left="720"/>
      <w:contextualSpacing/>
    </w:pPr>
  </w:style>
  <w:style w:type="paragraph" w:styleId="Bezmezer">
    <w:name w:val="No Spacing"/>
    <w:uiPriority w:val="1"/>
    <w:qFormat/>
    <w:rsid w:val="00252D81"/>
    <w:pPr>
      <w:spacing w:after="0" w:line="240" w:lineRule="auto"/>
    </w:pPr>
    <w:rPr>
      <w:sz w:val="18"/>
    </w:rPr>
  </w:style>
  <w:style w:type="paragraph" w:styleId="Revize">
    <w:name w:val="Revision"/>
    <w:hidden/>
    <w:uiPriority w:val="99"/>
    <w:semiHidden/>
    <w:rsid w:val="00F56588"/>
    <w:pPr>
      <w:spacing w:after="0" w:line="240" w:lineRule="auto"/>
    </w:pPr>
  </w:style>
  <w:style w:type="table" w:styleId="Mkatabulky">
    <w:name w:val="Table Grid"/>
    <w:basedOn w:val="Normlntabulka"/>
    <w:uiPriority w:val="39"/>
    <w:rsid w:val="00F565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6704B1"/>
    <w:rPr>
      <w:sz w:val="16"/>
      <w:szCs w:val="16"/>
    </w:rPr>
  </w:style>
  <w:style w:type="paragraph" w:styleId="Textkomente">
    <w:name w:val="annotation text"/>
    <w:basedOn w:val="Normln"/>
    <w:link w:val="TextkomenteChar"/>
    <w:uiPriority w:val="99"/>
    <w:semiHidden/>
    <w:unhideWhenUsed/>
    <w:rsid w:val="006704B1"/>
    <w:rPr>
      <w:sz w:val="20"/>
      <w:szCs w:val="20"/>
    </w:rPr>
  </w:style>
  <w:style w:type="character" w:customStyle="1" w:styleId="TextkomenteChar">
    <w:name w:val="Text komentáře Char"/>
    <w:basedOn w:val="Standardnpsmoodstavce"/>
    <w:link w:val="Textkomente"/>
    <w:uiPriority w:val="99"/>
    <w:semiHidden/>
    <w:rsid w:val="006704B1"/>
    <w:rPr>
      <w:sz w:val="20"/>
      <w:szCs w:val="20"/>
    </w:rPr>
  </w:style>
  <w:style w:type="paragraph" w:styleId="Pedmtkomente">
    <w:name w:val="annotation subject"/>
    <w:basedOn w:val="Textkomente"/>
    <w:next w:val="Textkomente"/>
    <w:link w:val="PedmtkomenteChar"/>
    <w:uiPriority w:val="99"/>
    <w:semiHidden/>
    <w:unhideWhenUsed/>
    <w:rsid w:val="006704B1"/>
    <w:rPr>
      <w:b/>
      <w:bCs/>
    </w:rPr>
  </w:style>
  <w:style w:type="character" w:customStyle="1" w:styleId="PedmtkomenteChar">
    <w:name w:val="Předmět komentáře Char"/>
    <w:basedOn w:val="TextkomenteChar"/>
    <w:link w:val="Pedmtkomente"/>
    <w:uiPriority w:val="99"/>
    <w:semiHidden/>
    <w:rsid w:val="006704B1"/>
    <w:rPr>
      <w:b/>
      <w:bCs/>
      <w:sz w:val="20"/>
      <w:szCs w:val="20"/>
    </w:rPr>
  </w:style>
  <w:style w:type="character" w:styleId="Hypertextovodkaz">
    <w:name w:val="Hyperlink"/>
    <w:basedOn w:val="Standardnpsmoodstavce"/>
    <w:uiPriority w:val="99"/>
    <w:unhideWhenUsed/>
    <w:rsid w:val="00B8477D"/>
    <w:rPr>
      <w:color w:val="0563C1" w:themeColor="hyperlink"/>
      <w:u w:val="single"/>
    </w:rPr>
  </w:style>
  <w:style w:type="character" w:styleId="Nevyeenzmnka">
    <w:name w:val="Unresolved Mention"/>
    <w:basedOn w:val="Standardnpsmoodstavce"/>
    <w:uiPriority w:val="99"/>
    <w:semiHidden/>
    <w:unhideWhenUsed/>
    <w:rsid w:val="00B847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494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8</Pages>
  <Words>2677</Words>
  <Characters>15796</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 Jan</dc:creator>
  <cp:keywords/>
  <dc:description/>
  <cp:lastModifiedBy>Uher Jan</cp:lastModifiedBy>
  <cp:revision>5</cp:revision>
  <dcterms:created xsi:type="dcterms:W3CDTF">2024-03-27T07:31:00Z</dcterms:created>
  <dcterms:modified xsi:type="dcterms:W3CDTF">2025-05-13T08:55:00Z</dcterms:modified>
</cp:coreProperties>
</file>